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1A04" w14:textId="77777777" w:rsidR="00DA10E0" w:rsidRPr="00400122" w:rsidRDefault="00DA10E0" w:rsidP="006C6B39">
      <w:pPr>
        <w:spacing w:line="276" w:lineRule="auto"/>
        <w:rPr>
          <w:rFonts w:ascii="黑体" w:eastAsia="黑体" w:hAnsi="黑体"/>
          <w:sz w:val="32"/>
          <w:szCs w:val="36"/>
        </w:rPr>
      </w:pPr>
      <w:bookmarkStart w:id="0" w:name="_Hlk42591581"/>
      <w:r w:rsidRPr="00400122">
        <w:rPr>
          <w:rFonts w:ascii="黑体" w:eastAsia="黑体" w:hAnsi="黑体"/>
          <w:sz w:val="32"/>
          <w:szCs w:val="36"/>
        </w:rPr>
        <w:t>附件1</w:t>
      </w:r>
    </w:p>
    <w:p w14:paraId="2490F39B" w14:textId="77777777" w:rsidR="00607990" w:rsidRPr="006723D6" w:rsidRDefault="00607990" w:rsidP="006C6B39">
      <w:pPr>
        <w:spacing w:line="276" w:lineRule="auto"/>
        <w:rPr>
          <w:sz w:val="32"/>
          <w:szCs w:val="36"/>
        </w:rPr>
      </w:pPr>
    </w:p>
    <w:p w14:paraId="67DE4737" w14:textId="49BDC7F6" w:rsidR="001637C8" w:rsidRPr="001425EA" w:rsidRDefault="001637C8" w:rsidP="006C6B39">
      <w:pPr>
        <w:spacing w:line="276" w:lineRule="auto"/>
        <w:jc w:val="center"/>
        <w:rPr>
          <w:rFonts w:ascii="方正小标宋简体" w:eastAsia="方正小标宋简体" w:hAnsi="方正小标宋简体"/>
          <w:bCs/>
          <w:sz w:val="44"/>
          <w:szCs w:val="48"/>
        </w:rPr>
      </w:pPr>
      <w:r w:rsidRPr="001425EA">
        <w:rPr>
          <w:rFonts w:ascii="方正小标宋简体" w:eastAsia="方正小标宋简体" w:hAnsi="方正小标宋简体" w:hint="eastAsia"/>
          <w:bCs/>
          <w:sz w:val="44"/>
          <w:szCs w:val="48"/>
        </w:rPr>
        <w:t>第一批</w:t>
      </w:r>
      <w:r w:rsidR="008E67A1">
        <w:rPr>
          <w:rFonts w:ascii="方正小标宋简体" w:eastAsia="方正小标宋简体" w:hAnsi="方正小标宋简体" w:hint="eastAsia"/>
          <w:bCs/>
          <w:sz w:val="44"/>
          <w:szCs w:val="48"/>
        </w:rPr>
        <w:t>胰腺</w:t>
      </w:r>
      <w:proofErr w:type="gramStart"/>
      <w:r w:rsidR="005C49C0" w:rsidRPr="001425EA">
        <w:rPr>
          <w:rFonts w:ascii="方正小标宋简体" w:eastAsia="方正小标宋简体" w:hAnsi="方正小标宋简体" w:hint="eastAsia"/>
          <w:bCs/>
          <w:sz w:val="44"/>
          <w:szCs w:val="48"/>
        </w:rPr>
        <w:t>癌</w:t>
      </w:r>
      <w:r w:rsidRPr="001425EA">
        <w:rPr>
          <w:rFonts w:ascii="方正小标宋简体" w:eastAsia="方正小标宋简体" w:hAnsi="方正小标宋简体" w:hint="eastAsia"/>
          <w:bCs/>
          <w:sz w:val="44"/>
          <w:szCs w:val="48"/>
        </w:rPr>
        <w:t>试点</w:t>
      </w:r>
      <w:proofErr w:type="gramEnd"/>
      <w:r w:rsidRPr="001425EA">
        <w:rPr>
          <w:rFonts w:ascii="方正小标宋简体" w:eastAsia="方正小标宋简体" w:hAnsi="方正小标宋简体" w:hint="eastAsia"/>
          <w:bCs/>
          <w:sz w:val="44"/>
          <w:szCs w:val="48"/>
        </w:rPr>
        <w:t>单位名单</w:t>
      </w:r>
    </w:p>
    <w:p w14:paraId="555EF4E0" w14:textId="2D60670F" w:rsidR="00DA10E0" w:rsidRPr="00EE054E" w:rsidRDefault="00DA10E0" w:rsidP="006C6B39">
      <w:pPr>
        <w:spacing w:line="276" w:lineRule="auto"/>
        <w:jc w:val="center"/>
        <w:rPr>
          <w:sz w:val="28"/>
          <w:szCs w:val="28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89"/>
        <w:gridCol w:w="4677"/>
      </w:tblGrid>
      <w:tr w:rsidR="007173AD" w:rsidRPr="007173AD" w14:paraId="0F82F762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05C8722" w14:textId="77777777" w:rsidR="007173AD" w:rsidRPr="007173AD" w:rsidRDefault="007173AD" w:rsidP="007173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173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9" w:type="dxa"/>
            <w:shd w:val="clear" w:color="auto" w:fill="auto"/>
            <w:noWrap/>
          </w:tcPr>
          <w:p w14:paraId="38B8FE8A" w14:textId="77777777" w:rsidR="007173AD" w:rsidRPr="007173AD" w:rsidRDefault="007173AD" w:rsidP="007173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173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4677" w:type="dxa"/>
            <w:shd w:val="clear" w:color="auto" w:fill="auto"/>
            <w:noWrap/>
          </w:tcPr>
          <w:p w14:paraId="2C09D025" w14:textId="77777777" w:rsidR="007173AD" w:rsidRPr="007173AD" w:rsidRDefault="007173AD" w:rsidP="007173A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173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试点单位所在医院</w:t>
            </w:r>
          </w:p>
        </w:tc>
      </w:tr>
      <w:tr w:rsidR="003404FE" w:rsidRPr="007173AD" w14:paraId="418614D0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E591935" w14:textId="1EDB77E6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B28DF58" w14:textId="24AA0ED7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A0D0BAF" w14:textId="2B081AE9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中国医学科学院肿瘤医院</w:t>
            </w:r>
          </w:p>
        </w:tc>
      </w:tr>
      <w:tr w:rsidR="003404FE" w:rsidRPr="007173AD" w14:paraId="568CE90B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FD93A0A" w14:textId="6493864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B94809A" w14:textId="3650463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天津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B166E28" w14:textId="40A172D5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天津市肿瘤医院</w:t>
            </w:r>
          </w:p>
        </w:tc>
      </w:tr>
      <w:tr w:rsidR="003404FE" w:rsidRPr="007173AD" w14:paraId="0EAE92A4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76D53637" w14:textId="0A92267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C8DD968" w14:textId="601DE725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8DA6DAF" w14:textId="763968B4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河北医科大学第二医院</w:t>
            </w:r>
          </w:p>
        </w:tc>
      </w:tr>
      <w:tr w:rsidR="003404FE" w:rsidRPr="007173AD" w14:paraId="2E6C504E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5A3C5CAB" w14:textId="23DAAA4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8BBE3B6" w14:textId="1372C1A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B1BA3EB" w14:textId="347C95C3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河北医科大学第四医院</w:t>
            </w:r>
          </w:p>
        </w:tc>
      </w:tr>
      <w:tr w:rsidR="003404FE" w:rsidRPr="007173AD" w14:paraId="1563D8A3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0C518353" w14:textId="16C23F3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E27C977" w14:textId="5C9D9C72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辽宁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768AA8E" w14:textId="2587AA8B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大连医科大学附属第一医院</w:t>
            </w:r>
          </w:p>
        </w:tc>
      </w:tr>
      <w:tr w:rsidR="003404FE" w:rsidRPr="007173AD" w14:paraId="6908B08C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27AB0E5" w14:textId="35007614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7E10634" w14:textId="60A64F5D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辽宁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EB7B787" w14:textId="673F9DD1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锦州医科大学附属第一医院</w:t>
            </w:r>
          </w:p>
        </w:tc>
      </w:tr>
      <w:tr w:rsidR="003404FE" w:rsidRPr="007173AD" w14:paraId="3CB0D14B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0D69EA77" w14:textId="6DBEA73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33549785" w14:textId="0E963E82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辽宁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F459D4F" w14:textId="34E8C410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辽宁省肿瘤医院</w:t>
            </w:r>
          </w:p>
        </w:tc>
      </w:tr>
      <w:tr w:rsidR="003404FE" w:rsidRPr="007173AD" w14:paraId="62ACFE55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6659EBCE" w14:textId="4621F3E6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2B83B91" w14:textId="7BFBC3F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0D1FB93" w14:textId="0499E92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吉林省肿瘤医院</w:t>
            </w:r>
          </w:p>
        </w:tc>
      </w:tr>
      <w:tr w:rsidR="003404FE" w:rsidRPr="007173AD" w14:paraId="17BE7234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1A5EB1B" w14:textId="1F968F6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9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53937AF" w14:textId="79CC8015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黑龙江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F1A1C5A" w14:textId="355AA7B5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哈尔滨医科大学附属肿瘤医院</w:t>
            </w:r>
          </w:p>
        </w:tc>
      </w:tr>
      <w:tr w:rsidR="003404FE" w:rsidRPr="007173AD" w14:paraId="720AA77D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002FEFA3" w14:textId="6E083BE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10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4A090346" w14:textId="27A071C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6CF8413" w14:textId="5138AC10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复旦大学附属中山医院</w:t>
            </w:r>
          </w:p>
        </w:tc>
      </w:tr>
      <w:tr w:rsidR="003404FE" w:rsidRPr="007173AD" w14:paraId="4D254B81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1DC85768" w14:textId="4CEE224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11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9CDE0F6" w14:textId="062DCF7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A3C0F56" w14:textId="267BA533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上海交通大学医学院附属仁济医院</w:t>
            </w:r>
          </w:p>
        </w:tc>
      </w:tr>
      <w:tr w:rsidR="003404FE" w:rsidRPr="007173AD" w14:paraId="111CEBE6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ACE77F8" w14:textId="66A6855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12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4DDD3258" w14:textId="46370224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江苏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9E13E39" w14:textId="475A068E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常州市第一人民医院</w:t>
            </w:r>
          </w:p>
        </w:tc>
      </w:tr>
      <w:tr w:rsidR="003404FE" w:rsidRPr="007173AD" w14:paraId="6A1D43A2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1D928C35" w14:textId="1D5547C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13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A1982D5" w14:textId="63BA498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江苏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FBCD3FC" w14:textId="7CA2C47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江苏省肿瘤医院</w:t>
            </w:r>
          </w:p>
        </w:tc>
      </w:tr>
      <w:tr w:rsidR="003404FE" w:rsidRPr="007173AD" w14:paraId="4C576EB4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7FB89CED" w14:textId="6BAE43A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14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86932B2" w14:textId="0B58B51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江苏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6CAC795" w14:textId="652830D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淮安市第一人民医院</w:t>
            </w:r>
          </w:p>
        </w:tc>
      </w:tr>
      <w:tr w:rsidR="003404FE" w:rsidRPr="007173AD" w14:paraId="745697B0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513EC57C" w14:textId="176537C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15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02AF492" w14:textId="706B4943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浙江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AF56CAA" w14:textId="5EE673AB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浙江大学医学院附属第二医院</w:t>
            </w:r>
          </w:p>
        </w:tc>
      </w:tr>
      <w:tr w:rsidR="003404FE" w:rsidRPr="007173AD" w14:paraId="2ECDC93E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906244A" w14:textId="2119A17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16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3BAAED58" w14:textId="49F0495A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浙江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760273B" w14:textId="223AE08F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浙江省肿瘤医院</w:t>
            </w:r>
          </w:p>
        </w:tc>
      </w:tr>
      <w:tr w:rsidR="003404FE" w:rsidRPr="007173AD" w14:paraId="522F9E1F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7AE1BF4" w14:textId="6F531ED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17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D731D9B" w14:textId="47C57FC7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浙江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443A577" w14:textId="7EC3C71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嘉兴市第二医院</w:t>
            </w:r>
          </w:p>
        </w:tc>
      </w:tr>
      <w:tr w:rsidR="003404FE" w:rsidRPr="007173AD" w14:paraId="71875BCC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07D1E794" w14:textId="62D370E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18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AADC3DA" w14:textId="0B283593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安徽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73F46AF" w14:textId="209C05C5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阜阳市人民医院</w:t>
            </w:r>
          </w:p>
        </w:tc>
      </w:tr>
      <w:tr w:rsidR="003404FE" w:rsidRPr="007173AD" w14:paraId="27E328E0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70D99219" w14:textId="649E3FED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19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5C6C5FC" w14:textId="25E780F4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江西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5A64CF6" w14:textId="3D4AE53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江西省人民医院</w:t>
            </w:r>
          </w:p>
        </w:tc>
      </w:tr>
      <w:tr w:rsidR="003404FE" w:rsidRPr="007173AD" w14:paraId="7F8A3C7B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50A3D2FF" w14:textId="26075F4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20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37E24E43" w14:textId="41D9466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山东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FE14112" w14:textId="476F61B8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山东大学齐鲁医院</w:t>
            </w:r>
          </w:p>
        </w:tc>
      </w:tr>
      <w:tr w:rsidR="003404FE" w:rsidRPr="007173AD" w14:paraId="5A7E8F26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753F3F14" w14:textId="03DF347D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21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663E0F9" w14:textId="1704AA6F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山东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0BA69EE" w14:textId="290B2EF4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烟台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毓璜顶医院</w:t>
            </w:r>
            <w:proofErr w:type="gramEnd"/>
          </w:p>
        </w:tc>
      </w:tr>
      <w:tr w:rsidR="003404FE" w:rsidRPr="007173AD" w14:paraId="76B4E5C7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4468DC7" w14:textId="24ED3F0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22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1B9F77D" w14:textId="3F70F37D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6585B57" w14:textId="6B39D820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河南省人民医院</w:t>
            </w:r>
          </w:p>
        </w:tc>
      </w:tr>
      <w:tr w:rsidR="003404FE" w:rsidRPr="007173AD" w14:paraId="1CF2584D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14E006F2" w14:textId="3C97E26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23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1772AEF" w14:textId="25253C0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03B6F56F" w14:textId="207CFB37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郑州大学第一附属医院</w:t>
            </w:r>
          </w:p>
        </w:tc>
      </w:tr>
      <w:tr w:rsidR="003404FE" w:rsidRPr="007173AD" w14:paraId="3FCA7A71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18324590" w14:textId="29D59B15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24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BA352A5" w14:textId="75BE2D9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3A659A9" w14:textId="1BE7038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河南省肿瘤医院</w:t>
            </w:r>
          </w:p>
        </w:tc>
      </w:tr>
      <w:tr w:rsidR="003404FE" w:rsidRPr="007173AD" w14:paraId="03374750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55C816EB" w14:textId="02AB2C4E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25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824155A" w14:textId="2C9EF01A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湖北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B5411B0" w14:textId="686DF161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华中科技大学同济医学院附属协和医院</w:t>
            </w:r>
          </w:p>
        </w:tc>
      </w:tr>
      <w:tr w:rsidR="003404FE" w:rsidRPr="007173AD" w14:paraId="12DA697C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7AB76847" w14:textId="7BCF5E3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26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928700B" w14:textId="5CD21192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湖北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F5F3754" w14:textId="01F8E722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湖北省肿瘤医院</w:t>
            </w:r>
          </w:p>
        </w:tc>
      </w:tr>
      <w:tr w:rsidR="003404FE" w:rsidRPr="007173AD" w14:paraId="610288D7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600D76F6" w14:textId="5D5F22F3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27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F99AF0E" w14:textId="0C01663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广东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5DD974F" w14:textId="2CBBD4DA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广东省人民医院</w:t>
            </w:r>
          </w:p>
        </w:tc>
      </w:tr>
      <w:tr w:rsidR="003404FE" w:rsidRPr="007173AD" w14:paraId="112E7715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9488376" w14:textId="25CCBE7D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28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DE81A2A" w14:textId="3CE18CD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广东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C407DFF" w14:textId="33E58959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中山大学附属肿瘤医院</w:t>
            </w:r>
          </w:p>
        </w:tc>
      </w:tr>
      <w:tr w:rsidR="003404FE" w:rsidRPr="007173AD" w14:paraId="624AA57D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E9B1322" w14:textId="3AB47EB4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29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E39C329" w14:textId="672A874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900E47E" w14:textId="65956D89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重庆市人民医院</w:t>
            </w:r>
          </w:p>
        </w:tc>
      </w:tr>
      <w:tr w:rsidR="003404FE" w:rsidRPr="007173AD" w14:paraId="6891609E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64BBA5F1" w14:textId="396D8932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30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0DDA0038" w14:textId="3098156F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F472CDF" w14:textId="557B160B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重庆医科大学附属第一医院</w:t>
            </w:r>
          </w:p>
        </w:tc>
      </w:tr>
      <w:tr w:rsidR="003404FE" w:rsidRPr="007173AD" w14:paraId="65F2FB67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C34861C" w14:textId="3A3519C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31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7609AB8C" w14:textId="6E099237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C070FB8" w14:textId="003B293E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重庆大学附属肿瘤医院</w:t>
            </w:r>
          </w:p>
        </w:tc>
      </w:tr>
      <w:tr w:rsidR="003404FE" w:rsidRPr="007173AD" w14:paraId="60BFEC4C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5A39E79" w14:textId="222AE69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lastRenderedPageBreak/>
              <w:t>32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1034BB1" w14:textId="78A9DA4E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67BA6EE" w14:textId="2728D7AD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中国人民解放军陆军军医大学第二附属医院</w:t>
            </w:r>
          </w:p>
        </w:tc>
      </w:tr>
      <w:tr w:rsidR="003404FE" w:rsidRPr="007173AD" w14:paraId="6EAFE79A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DD918C5" w14:textId="62DD465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33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4C980C64" w14:textId="03E6121F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四川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00203578" w14:textId="2C51D40E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四川大学华西医院</w:t>
            </w:r>
          </w:p>
        </w:tc>
      </w:tr>
      <w:tr w:rsidR="003404FE" w:rsidRPr="007173AD" w14:paraId="38E82F8A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6D54E2D3" w14:textId="5DE11BE6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34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C8EA5D2" w14:textId="5A40D7AE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四川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77C5C28" w14:textId="049F09B4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川北医学院附属医院</w:t>
            </w:r>
          </w:p>
        </w:tc>
      </w:tr>
      <w:tr w:rsidR="003404FE" w:rsidRPr="007173AD" w14:paraId="7A2C78AC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3E74A623" w14:textId="1FF836A6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35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C1660DD" w14:textId="6443E98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四川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18EB117" w14:textId="1C6391AE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四川省肿瘤医院</w:t>
            </w:r>
          </w:p>
        </w:tc>
      </w:tr>
      <w:tr w:rsidR="003404FE" w:rsidRPr="007173AD" w14:paraId="02F36061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171E5CF7" w14:textId="10554DF5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36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02E13A96" w14:textId="6B22973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5915194" w14:textId="29104D56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云南省第一人民医院</w:t>
            </w:r>
          </w:p>
        </w:tc>
      </w:tr>
      <w:tr w:rsidR="003404FE" w:rsidRPr="007173AD" w14:paraId="60345F28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DC529E7" w14:textId="339C66B4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37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FE55365" w14:textId="717397CF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云南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BBD1751" w14:textId="7A93C98C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云南省肿瘤医院</w:t>
            </w:r>
          </w:p>
        </w:tc>
      </w:tr>
      <w:tr w:rsidR="003404FE" w:rsidRPr="007173AD" w14:paraId="26E1202A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54336E7A" w14:textId="121CD1CC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38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4221C34" w14:textId="6C20035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陕西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BA0E795" w14:textId="232DA894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西安交通大学第一附属医院</w:t>
            </w:r>
          </w:p>
        </w:tc>
      </w:tr>
      <w:tr w:rsidR="003404FE" w:rsidRPr="007173AD" w14:paraId="46763C97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59BA75A" w14:textId="76A940BE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39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5F6FF518" w14:textId="5466B08E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甘肃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51A8BE8" w14:textId="02901F37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兰州大学第一医院</w:t>
            </w:r>
          </w:p>
        </w:tc>
      </w:tr>
      <w:tr w:rsidR="003404FE" w:rsidRPr="007173AD" w14:paraId="27BAE4FD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0FF499E" w14:textId="5625BDB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40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CB8074B" w14:textId="6E0A3C79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甘肃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AFC9A5E" w14:textId="19BED058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甘肃省肿瘤医院</w:t>
            </w:r>
          </w:p>
        </w:tc>
      </w:tr>
      <w:tr w:rsidR="003404FE" w:rsidRPr="007173AD" w14:paraId="40154002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47EF7369" w14:textId="00EC3010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41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482B5125" w14:textId="34060352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宁夏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0D4D5A7" w14:textId="65BA3408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宁夏医科大学总医院</w:t>
            </w:r>
          </w:p>
        </w:tc>
      </w:tr>
      <w:tr w:rsidR="003404FE" w:rsidRPr="007173AD" w14:paraId="1BB94474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0A456C7D" w14:textId="7FFC7EB8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42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245FB022" w14:textId="336B0F8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宁夏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05F4CF16" w14:textId="2D400BE8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宁夏回族自治区人民医院</w:t>
            </w:r>
          </w:p>
        </w:tc>
      </w:tr>
      <w:tr w:rsidR="003404FE" w:rsidRPr="007173AD" w14:paraId="479EB33A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D83D83B" w14:textId="14965FCB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43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360B0ADA" w14:textId="34B21403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0AC289B" w14:textId="2EB68E75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新疆医科大学第一附属医院</w:t>
            </w:r>
          </w:p>
        </w:tc>
      </w:tr>
      <w:tr w:rsidR="003404FE" w:rsidRPr="007173AD" w14:paraId="0AE83160" w14:textId="77777777" w:rsidTr="003404FE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</w:tcPr>
          <w:p w14:paraId="2E4E87A5" w14:textId="67E5B301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37547">
              <w:t>44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5B69B09" w14:textId="2C83F067" w:rsidR="003404FE" w:rsidRPr="007173AD" w:rsidRDefault="003404FE" w:rsidP="003404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新疆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96676CC" w14:textId="5CAA6759" w:rsidR="003404FE" w:rsidRPr="007173AD" w:rsidRDefault="003404FE" w:rsidP="003404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新疆医科大学附属肿瘤医院</w:t>
            </w:r>
          </w:p>
        </w:tc>
      </w:tr>
    </w:tbl>
    <w:p w14:paraId="7338B254" w14:textId="77777777" w:rsidR="00FB64DA" w:rsidRPr="007173AD" w:rsidRDefault="00FB64DA" w:rsidP="006C6B39">
      <w:pPr>
        <w:spacing w:line="276" w:lineRule="auto"/>
        <w:rPr>
          <w:rFonts w:ascii="仿宋" w:eastAsia="仿宋" w:hAnsi="仿宋"/>
          <w:sz w:val="32"/>
          <w:szCs w:val="36"/>
        </w:rPr>
      </w:pPr>
    </w:p>
    <w:p w14:paraId="611E41C4" w14:textId="77777777" w:rsidR="00FB64DA" w:rsidRPr="00903D82" w:rsidRDefault="00FB64DA" w:rsidP="006C6B39">
      <w:pPr>
        <w:widowControl/>
        <w:spacing w:line="276" w:lineRule="auto"/>
        <w:jc w:val="left"/>
        <w:rPr>
          <w:rFonts w:ascii="仿宋" w:eastAsia="仿宋" w:hAnsi="仿宋"/>
          <w:sz w:val="32"/>
          <w:szCs w:val="36"/>
        </w:rPr>
      </w:pPr>
      <w:r w:rsidRPr="00903D82">
        <w:rPr>
          <w:rFonts w:ascii="仿宋" w:eastAsia="仿宋" w:hAnsi="仿宋"/>
          <w:sz w:val="32"/>
          <w:szCs w:val="36"/>
        </w:rPr>
        <w:br w:type="page"/>
      </w:r>
    </w:p>
    <w:p w14:paraId="60CDE2C7" w14:textId="77777777" w:rsidR="00324189" w:rsidRDefault="00324189" w:rsidP="006C6B39">
      <w:pPr>
        <w:spacing w:line="276" w:lineRule="auto"/>
        <w:rPr>
          <w:rFonts w:ascii="黑体" w:eastAsia="黑体" w:hAnsi="黑体"/>
          <w:sz w:val="32"/>
          <w:szCs w:val="36"/>
        </w:rPr>
      </w:pPr>
      <w:r w:rsidRPr="006C6B39">
        <w:rPr>
          <w:rFonts w:ascii="黑体" w:eastAsia="黑体" w:hAnsi="黑体"/>
          <w:sz w:val="32"/>
          <w:szCs w:val="36"/>
        </w:rPr>
        <w:lastRenderedPageBreak/>
        <w:t>附件2</w:t>
      </w:r>
    </w:p>
    <w:p w14:paraId="726F0BEC" w14:textId="338D8821" w:rsidR="00A82700" w:rsidRPr="001506BC" w:rsidRDefault="00164682" w:rsidP="006C6B39">
      <w:pPr>
        <w:spacing w:line="276" w:lineRule="auto"/>
        <w:jc w:val="center"/>
        <w:rPr>
          <w:rFonts w:ascii="方正小标宋简体" w:eastAsia="方正小标宋简体" w:hAnsi="方正小标宋简体"/>
          <w:bCs/>
          <w:sz w:val="44"/>
          <w:szCs w:val="48"/>
        </w:rPr>
      </w:pPr>
      <w:r>
        <w:rPr>
          <w:rFonts w:ascii="方正小标宋简体" w:eastAsia="方正小标宋简体" w:hAnsi="方正小标宋简体" w:hint="eastAsia"/>
          <w:bCs/>
          <w:sz w:val="44"/>
          <w:szCs w:val="48"/>
        </w:rPr>
        <w:t>胰腺</w:t>
      </w:r>
      <w:proofErr w:type="gramStart"/>
      <w:r w:rsidR="00261898">
        <w:rPr>
          <w:rFonts w:ascii="方正小标宋简体" w:eastAsia="方正小标宋简体" w:hAnsi="方正小标宋简体" w:hint="eastAsia"/>
          <w:bCs/>
          <w:sz w:val="44"/>
          <w:szCs w:val="48"/>
        </w:rPr>
        <w:t>癌</w:t>
      </w:r>
      <w:r w:rsidR="00A82700" w:rsidRPr="001506BC">
        <w:rPr>
          <w:rFonts w:ascii="方正小标宋简体" w:eastAsia="方正小标宋简体" w:hAnsi="方正小标宋简体" w:hint="eastAsia"/>
          <w:bCs/>
          <w:sz w:val="44"/>
          <w:szCs w:val="48"/>
        </w:rPr>
        <w:t>规范</w:t>
      </w:r>
      <w:proofErr w:type="gramEnd"/>
      <w:r w:rsidR="00A82700" w:rsidRPr="001506BC">
        <w:rPr>
          <w:rFonts w:ascii="方正小标宋简体" w:eastAsia="方正小标宋简体" w:hAnsi="方正小标宋简体" w:hint="eastAsia"/>
          <w:bCs/>
          <w:sz w:val="44"/>
          <w:szCs w:val="48"/>
        </w:rPr>
        <w:t>诊疗质量控制试点单位工作要求</w:t>
      </w:r>
    </w:p>
    <w:p w14:paraId="29294449" w14:textId="77777777" w:rsidR="00A82700" w:rsidRDefault="00A82700" w:rsidP="006C6B39">
      <w:pPr>
        <w:spacing w:line="276" w:lineRule="auto"/>
        <w:ind w:firstLineChars="200" w:firstLine="883"/>
        <w:rPr>
          <w:b/>
          <w:bCs/>
          <w:sz w:val="44"/>
          <w:szCs w:val="44"/>
        </w:rPr>
      </w:pPr>
    </w:p>
    <w:bookmarkEnd w:id="0"/>
    <w:p w14:paraId="3B5F8E99" w14:textId="77777777" w:rsidR="007A201C" w:rsidRPr="009A1EEE" w:rsidRDefault="007A201C" w:rsidP="007A201C">
      <w:pPr>
        <w:spacing w:line="276" w:lineRule="auto"/>
        <w:ind w:firstLine="567"/>
        <w:rPr>
          <w:rFonts w:ascii="黑体" w:eastAsia="黑体" w:hAnsi="黑体"/>
          <w:sz w:val="32"/>
          <w:szCs w:val="32"/>
        </w:rPr>
      </w:pPr>
      <w:r w:rsidRPr="009A1EEE">
        <w:rPr>
          <w:rFonts w:ascii="黑体" w:eastAsia="黑体" w:hAnsi="黑体" w:hint="eastAsia"/>
          <w:sz w:val="32"/>
          <w:szCs w:val="32"/>
        </w:rPr>
        <w:t>一、组织管理</w:t>
      </w:r>
    </w:p>
    <w:p w14:paraId="5BEE4FDC" w14:textId="6FA5116E" w:rsidR="007A201C" w:rsidRPr="006D0D7C" w:rsidRDefault="007A201C" w:rsidP="00A65E6A">
      <w:pPr>
        <w:spacing w:line="560" w:lineRule="exact"/>
        <w:ind w:firstLine="567"/>
        <w:rPr>
          <w:rFonts w:ascii="楷体" w:eastAsia="楷体" w:hAnsi="楷体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（一）</w:t>
      </w:r>
      <w:r w:rsidRPr="00237DD4">
        <w:rPr>
          <w:rFonts w:eastAsia="仿宋" w:hint="eastAsia"/>
          <w:sz w:val="32"/>
          <w:szCs w:val="32"/>
        </w:rPr>
        <w:t>试点单位发布正式文件成立</w:t>
      </w:r>
      <w:r w:rsidR="00164682">
        <w:rPr>
          <w:rFonts w:eastAsia="仿宋" w:hint="eastAsia"/>
          <w:sz w:val="32"/>
          <w:szCs w:val="32"/>
        </w:rPr>
        <w:t>胰腺</w:t>
      </w:r>
      <w:r>
        <w:rPr>
          <w:rFonts w:eastAsia="仿宋" w:hint="eastAsia"/>
          <w:sz w:val="32"/>
          <w:szCs w:val="32"/>
        </w:rPr>
        <w:t>癌</w:t>
      </w:r>
      <w:r w:rsidRPr="00237DD4">
        <w:rPr>
          <w:rFonts w:eastAsia="仿宋" w:hint="eastAsia"/>
          <w:sz w:val="32"/>
          <w:szCs w:val="32"/>
        </w:rPr>
        <w:t>诊疗试点建设</w:t>
      </w:r>
      <w:r w:rsidRPr="00237DD4">
        <w:rPr>
          <w:rFonts w:eastAsia="仿宋"/>
          <w:sz w:val="32"/>
          <w:szCs w:val="32"/>
        </w:rPr>
        <w:t>工作委员会</w:t>
      </w:r>
      <w:r w:rsidRPr="00237DD4">
        <w:rPr>
          <w:rFonts w:eastAsia="仿宋" w:hint="eastAsia"/>
          <w:sz w:val="32"/>
          <w:szCs w:val="32"/>
        </w:rPr>
        <w:t>，要求：</w:t>
      </w:r>
    </w:p>
    <w:p w14:paraId="607A8150" w14:textId="77777777" w:rsidR="007A201C" w:rsidRPr="00E8550D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1</w:t>
      </w:r>
      <w:r w:rsidRPr="00E8550D">
        <w:rPr>
          <w:rFonts w:ascii="仿宋" w:eastAsia="仿宋" w:hAnsi="仿宋"/>
          <w:sz w:val="32"/>
          <w:szCs w:val="32"/>
        </w:rPr>
        <w:t>.</w:t>
      </w:r>
      <w:r w:rsidRPr="00E8550D">
        <w:rPr>
          <w:rFonts w:ascii="仿宋" w:eastAsia="仿宋" w:hAnsi="仿宋" w:hint="eastAsia"/>
          <w:sz w:val="32"/>
          <w:szCs w:val="32"/>
        </w:rPr>
        <w:t>文件明确工作委员会工作职责，明确工作委员会具有调动医院相关资源保障试点建设和运行的权力。</w:t>
      </w:r>
    </w:p>
    <w:p w14:paraId="56BFC476" w14:textId="74976D17" w:rsidR="007A201C" w:rsidRPr="00E8550D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/>
          <w:sz w:val="32"/>
          <w:szCs w:val="32"/>
        </w:rPr>
        <w:t>2.</w:t>
      </w:r>
      <w:r w:rsidR="00164682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癌诊疗试点建设</w:t>
      </w:r>
      <w:r w:rsidRPr="00E8550D">
        <w:rPr>
          <w:rFonts w:ascii="仿宋" w:eastAsia="仿宋" w:hAnsi="仿宋"/>
          <w:sz w:val="32"/>
          <w:szCs w:val="32"/>
        </w:rPr>
        <w:t>工作委员会</w:t>
      </w:r>
      <w:r w:rsidRPr="00E8550D">
        <w:rPr>
          <w:rFonts w:ascii="仿宋" w:eastAsia="仿宋" w:hAnsi="仿宋" w:hint="eastAsia"/>
          <w:sz w:val="32"/>
          <w:szCs w:val="32"/>
        </w:rPr>
        <w:t>由院长或分管院领导担任委员会主任，主持委员会的重大决策和相关工作；委员会成员由</w:t>
      </w:r>
      <w:r w:rsidR="00404CDA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</w:t>
      </w:r>
      <w:r w:rsidRPr="00E8550D">
        <w:rPr>
          <w:rFonts w:ascii="仿宋" w:eastAsia="仿宋" w:hAnsi="仿宋"/>
          <w:sz w:val="32"/>
          <w:szCs w:val="32"/>
        </w:rPr>
        <w:t>诊疗相关科室</w:t>
      </w:r>
      <w:r w:rsidRPr="00E8550D">
        <w:rPr>
          <w:rFonts w:ascii="仿宋" w:eastAsia="仿宋" w:hAnsi="仿宋" w:hint="eastAsia"/>
          <w:sz w:val="32"/>
          <w:szCs w:val="32"/>
        </w:rPr>
        <w:t>（临床、医技、护理等）负责人</w:t>
      </w:r>
      <w:r w:rsidRPr="00E8550D">
        <w:rPr>
          <w:rFonts w:ascii="仿宋" w:eastAsia="仿宋" w:hAnsi="仿宋"/>
          <w:sz w:val="32"/>
          <w:szCs w:val="32"/>
        </w:rPr>
        <w:t>和管理部门</w:t>
      </w:r>
      <w:r w:rsidRPr="00E8550D">
        <w:rPr>
          <w:rFonts w:ascii="仿宋" w:eastAsia="仿宋" w:hAnsi="仿宋" w:hint="eastAsia"/>
          <w:sz w:val="32"/>
          <w:szCs w:val="32"/>
        </w:rPr>
        <w:t>（医务处、信息科等）负责人组成。</w:t>
      </w:r>
    </w:p>
    <w:p w14:paraId="15E0BA03" w14:textId="3DA3EFDB" w:rsidR="007A201C" w:rsidRPr="00E8550D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3</w:t>
      </w:r>
      <w:r w:rsidRPr="00E8550D">
        <w:rPr>
          <w:rFonts w:ascii="仿宋" w:eastAsia="仿宋" w:hAnsi="仿宋"/>
          <w:sz w:val="32"/>
          <w:szCs w:val="32"/>
        </w:rPr>
        <w:t>.</w:t>
      </w:r>
      <w:r w:rsidR="00164682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癌诊疗试点建设</w:t>
      </w:r>
      <w:r w:rsidRPr="00E8550D">
        <w:rPr>
          <w:rFonts w:ascii="仿宋" w:eastAsia="仿宋" w:hAnsi="仿宋"/>
          <w:sz w:val="32"/>
          <w:szCs w:val="32"/>
        </w:rPr>
        <w:t>工作</w:t>
      </w:r>
      <w:r w:rsidRPr="00E8550D">
        <w:rPr>
          <w:rFonts w:ascii="仿宋" w:eastAsia="仿宋" w:hAnsi="仿宋" w:hint="eastAsia"/>
          <w:sz w:val="32"/>
          <w:szCs w:val="32"/>
        </w:rPr>
        <w:t>委员会，负责制定</w:t>
      </w:r>
      <w:r w:rsidR="00164682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癌诊疗质量改进计划及配套措施</w:t>
      </w:r>
      <w:r w:rsidRPr="00E8550D">
        <w:rPr>
          <w:rFonts w:ascii="仿宋" w:eastAsia="仿宋" w:hAnsi="仿宋"/>
          <w:sz w:val="32"/>
          <w:szCs w:val="32"/>
        </w:rPr>
        <w:t>。</w:t>
      </w:r>
      <w:r w:rsidRPr="00E8550D">
        <w:rPr>
          <w:rFonts w:ascii="仿宋" w:eastAsia="仿宋" w:hAnsi="仿宋" w:hint="eastAsia"/>
          <w:sz w:val="32"/>
          <w:szCs w:val="32"/>
        </w:rPr>
        <w:t>推进医院数据自动对接上报工作，组织协调各科室开展</w:t>
      </w:r>
      <w:r w:rsidR="00164682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癌规范化诊疗工作。</w:t>
      </w:r>
    </w:p>
    <w:p w14:paraId="694CC214" w14:textId="2F5D5D79" w:rsidR="007A201C" w:rsidRPr="00E8550D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/>
          <w:sz w:val="32"/>
          <w:szCs w:val="32"/>
        </w:rPr>
        <w:t>4.</w:t>
      </w:r>
      <w:r w:rsidRPr="00E8550D">
        <w:rPr>
          <w:rFonts w:ascii="仿宋" w:eastAsia="仿宋" w:hAnsi="仿宋" w:hint="eastAsia"/>
          <w:sz w:val="32"/>
          <w:szCs w:val="32"/>
        </w:rPr>
        <w:t>委员会应安排专人（协调人）负责管理试点建设工作，负责与国家癌症中心工作联系、组织协调各科室开展工作，组织相关活动，开展质控和数据上报等日常工作。</w:t>
      </w:r>
    </w:p>
    <w:p w14:paraId="40BE73EC" w14:textId="77777777" w:rsidR="007A201C" w:rsidRPr="00237DD4" w:rsidRDefault="007A201C" w:rsidP="00A65E6A">
      <w:pPr>
        <w:pStyle w:val="ad"/>
        <w:numPr>
          <w:ilvl w:val="0"/>
          <w:numId w:val="10"/>
        </w:numPr>
        <w:spacing w:line="560" w:lineRule="exact"/>
        <w:ind w:firstLineChars="0"/>
        <w:rPr>
          <w:rFonts w:ascii="Times New Roman" w:eastAsia="仿宋" w:hAnsi="Times New Roman"/>
          <w:sz w:val="32"/>
          <w:szCs w:val="32"/>
        </w:rPr>
      </w:pPr>
      <w:r w:rsidRPr="00237DD4">
        <w:rPr>
          <w:rFonts w:ascii="Times New Roman" w:eastAsia="仿宋" w:hAnsi="Times New Roman" w:hint="eastAsia"/>
          <w:sz w:val="32"/>
          <w:szCs w:val="32"/>
        </w:rPr>
        <w:t>试点单位应制</w:t>
      </w:r>
      <w:proofErr w:type="gramStart"/>
      <w:r w:rsidRPr="00237DD4">
        <w:rPr>
          <w:rFonts w:ascii="Times New Roman" w:eastAsia="仿宋" w:hAnsi="Times New Roman" w:hint="eastAsia"/>
          <w:sz w:val="32"/>
          <w:szCs w:val="32"/>
        </w:rPr>
        <w:t>订质量</w:t>
      </w:r>
      <w:proofErr w:type="gramEnd"/>
      <w:r w:rsidRPr="00237DD4">
        <w:rPr>
          <w:rFonts w:ascii="Times New Roman" w:eastAsia="仿宋" w:hAnsi="Times New Roman" w:hint="eastAsia"/>
          <w:sz w:val="32"/>
          <w:szCs w:val="32"/>
        </w:rPr>
        <w:t>改进的计划和措施</w:t>
      </w:r>
    </w:p>
    <w:p w14:paraId="65720BD5" w14:textId="3183323F" w:rsidR="007A201C" w:rsidRPr="00E8550D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1</w:t>
      </w:r>
      <w:r w:rsidRPr="00E8550D">
        <w:rPr>
          <w:rFonts w:ascii="仿宋" w:eastAsia="仿宋" w:hAnsi="仿宋"/>
          <w:sz w:val="32"/>
          <w:szCs w:val="32"/>
        </w:rPr>
        <w:t>.</w:t>
      </w:r>
      <w:r w:rsidRPr="00E8550D">
        <w:rPr>
          <w:rFonts w:ascii="仿宋" w:eastAsia="仿宋" w:hAnsi="仿宋" w:hint="eastAsia"/>
          <w:sz w:val="32"/>
          <w:szCs w:val="32"/>
        </w:rPr>
        <w:t>应</w:t>
      </w:r>
      <w:r w:rsidRPr="00E8550D">
        <w:rPr>
          <w:rFonts w:ascii="仿宋" w:eastAsia="仿宋" w:hAnsi="仿宋"/>
          <w:sz w:val="32"/>
          <w:szCs w:val="32"/>
        </w:rPr>
        <w:t>定期开展</w:t>
      </w:r>
      <w:r w:rsidR="00310D9B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/>
          <w:sz w:val="32"/>
          <w:szCs w:val="32"/>
        </w:rPr>
        <w:t>癌诊疗质量分析</w:t>
      </w:r>
      <w:r w:rsidRPr="00E8550D">
        <w:rPr>
          <w:rFonts w:ascii="仿宋" w:eastAsia="仿宋" w:hAnsi="仿宋" w:hint="eastAsia"/>
          <w:sz w:val="32"/>
          <w:szCs w:val="32"/>
        </w:rPr>
        <w:t>会议</w:t>
      </w:r>
      <w:r w:rsidRPr="00E8550D">
        <w:rPr>
          <w:rFonts w:ascii="仿宋" w:eastAsia="仿宋" w:hAnsi="仿宋"/>
          <w:sz w:val="32"/>
          <w:szCs w:val="32"/>
        </w:rPr>
        <w:t>，就医院</w:t>
      </w:r>
      <w:r w:rsidR="00310D9B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/>
          <w:sz w:val="32"/>
          <w:szCs w:val="32"/>
        </w:rPr>
        <w:t>癌诊疗阶段性数据进行分析，发现问题，提出改进措施。</w:t>
      </w:r>
    </w:p>
    <w:p w14:paraId="633CE82F" w14:textId="57008295" w:rsidR="007A201C" w:rsidRDefault="007A201C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2</w:t>
      </w:r>
      <w:r w:rsidRPr="00E8550D">
        <w:rPr>
          <w:rFonts w:ascii="仿宋" w:eastAsia="仿宋" w:hAnsi="仿宋"/>
          <w:sz w:val="32"/>
          <w:szCs w:val="32"/>
        </w:rPr>
        <w:t>.应定期开展</w:t>
      </w:r>
      <w:r w:rsidRPr="00E8550D">
        <w:rPr>
          <w:rFonts w:ascii="仿宋" w:eastAsia="仿宋" w:hAnsi="仿宋" w:hint="eastAsia"/>
          <w:sz w:val="32"/>
          <w:szCs w:val="32"/>
        </w:rPr>
        <w:t>典型病例讨论会，可与质量分析会同时举行，</w:t>
      </w:r>
      <w:r w:rsidRPr="00E8550D">
        <w:rPr>
          <w:rFonts w:ascii="仿宋" w:eastAsia="仿宋" w:hAnsi="仿宋" w:hint="eastAsia"/>
          <w:sz w:val="32"/>
          <w:szCs w:val="32"/>
        </w:rPr>
        <w:lastRenderedPageBreak/>
        <w:t>但主要是针对直接参与</w:t>
      </w:r>
      <w:r w:rsidR="00404CDA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癌诊疗的医务人员。一般是从质量分析会中发现宏观问题，再将存在决策错误的典型病例挑选出来作为剖析的对象。</w:t>
      </w:r>
    </w:p>
    <w:p w14:paraId="0E0812CA" w14:textId="77777777" w:rsidR="0071534F" w:rsidRPr="00E8550D" w:rsidRDefault="0071534F" w:rsidP="00A65E6A">
      <w:pPr>
        <w:pStyle w:val="ad"/>
        <w:spacing w:line="560" w:lineRule="exact"/>
        <w:ind w:firstLineChars="0" w:firstLine="567"/>
        <w:rPr>
          <w:rFonts w:ascii="仿宋" w:eastAsia="仿宋" w:hAnsi="仿宋"/>
          <w:sz w:val="32"/>
          <w:szCs w:val="32"/>
        </w:rPr>
      </w:pPr>
    </w:p>
    <w:p w14:paraId="32A42BF1" w14:textId="6A612352" w:rsidR="007A201C" w:rsidRPr="00A162D0" w:rsidRDefault="007A201C" w:rsidP="007A201C">
      <w:pPr>
        <w:spacing w:line="276" w:lineRule="auto"/>
        <w:ind w:firstLine="567"/>
        <w:rPr>
          <w:rFonts w:ascii="黑体" w:eastAsia="黑体" w:hAnsi="黑体"/>
          <w:sz w:val="32"/>
          <w:szCs w:val="32"/>
        </w:rPr>
      </w:pPr>
      <w:r w:rsidRPr="00A162D0">
        <w:rPr>
          <w:rFonts w:ascii="黑体" w:eastAsia="黑体" w:hAnsi="黑体" w:hint="eastAsia"/>
          <w:sz w:val="32"/>
          <w:szCs w:val="32"/>
        </w:rPr>
        <w:t>二、</w:t>
      </w:r>
      <w:r w:rsidR="00310D9B">
        <w:rPr>
          <w:rFonts w:ascii="黑体" w:eastAsia="黑体" w:hAnsi="黑体" w:hint="eastAsia"/>
          <w:sz w:val="32"/>
          <w:szCs w:val="32"/>
        </w:rPr>
        <w:t>胰腺</w:t>
      </w:r>
      <w:r>
        <w:rPr>
          <w:rFonts w:ascii="黑体" w:eastAsia="黑体" w:hAnsi="黑体" w:hint="eastAsia"/>
          <w:sz w:val="32"/>
          <w:szCs w:val="32"/>
        </w:rPr>
        <w:t>癌</w:t>
      </w:r>
      <w:r w:rsidRPr="00A162D0">
        <w:rPr>
          <w:rFonts w:ascii="黑体" w:eastAsia="黑体" w:hAnsi="黑体" w:hint="eastAsia"/>
          <w:sz w:val="32"/>
          <w:szCs w:val="32"/>
        </w:rPr>
        <w:t>规范化诊疗能力</w:t>
      </w:r>
    </w:p>
    <w:p w14:paraId="5F36805C" w14:textId="0B1ACF1B" w:rsidR="007A201C" w:rsidRPr="00E8550D" w:rsidRDefault="007A201C" w:rsidP="00A65E6A">
      <w:pPr>
        <w:spacing w:line="560" w:lineRule="exact"/>
        <w:ind w:firstLine="426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E8550D">
        <w:rPr>
          <w:rFonts w:ascii="仿宋" w:eastAsia="仿宋" w:hAnsi="仿宋" w:hint="eastAsia"/>
          <w:sz w:val="32"/>
          <w:szCs w:val="32"/>
        </w:rPr>
        <w:t>（一）参与</w:t>
      </w:r>
      <w:r w:rsidR="00310D9B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癌诊疗的主要科室医疗服务能力达到区域内领先水平，具备组织开展临床研究的能力，配合国家癌症中心开展相关科学研究。</w:t>
      </w:r>
    </w:p>
    <w:p w14:paraId="48E73206" w14:textId="77777777" w:rsidR="007A201C" w:rsidRPr="00747784" w:rsidRDefault="007A201C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（二）多学科诊疗</w:t>
      </w:r>
      <w:r w:rsidRPr="00747784">
        <w:rPr>
          <w:rFonts w:eastAsia="仿宋"/>
          <w:sz w:val="32"/>
          <w:szCs w:val="32"/>
        </w:rPr>
        <w:t>（</w:t>
      </w:r>
      <w:r w:rsidRPr="00747784">
        <w:rPr>
          <w:rFonts w:eastAsia="仿宋"/>
          <w:sz w:val="32"/>
          <w:szCs w:val="32"/>
        </w:rPr>
        <w:t>MDT</w:t>
      </w:r>
      <w:r w:rsidRPr="00747784">
        <w:rPr>
          <w:rFonts w:eastAsia="仿宋"/>
          <w:sz w:val="32"/>
          <w:szCs w:val="32"/>
        </w:rPr>
        <w:t>）开展情况。积极开展</w:t>
      </w:r>
      <w:r w:rsidRPr="00747784">
        <w:rPr>
          <w:rFonts w:eastAsia="仿宋"/>
          <w:sz w:val="32"/>
          <w:szCs w:val="32"/>
        </w:rPr>
        <w:t>MDT</w:t>
      </w:r>
      <w:r w:rsidRPr="00747784">
        <w:rPr>
          <w:rFonts w:eastAsia="仿宋"/>
          <w:sz w:val="32"/>
          <w:szCs w:val="32"/>
        </w:rPr>
        <w:t>诊疗工作，针对疑难重症患者能够提供多学科会诊服务；建立</w:t>
      </w:r>
      <w:r w:rsidRPr="00747784">
        <w:rPr>
          <w:rFonts w:eastAsia="仿宋"/>
          <w:sz w:val="32"/>
          <w:szCs w:val="32"/>
        </w:rPr>
        <w:t>MDT</w:t>
      </w:r>
      <w:r w:rsidRPr="00747784">
        <w:rPr>
          <w:rFonts w:eastAsia="仿宋"/>
          <w:sz w:val="32"/>
          <w:szCs w:val="32"/>
        </w:rPr>
        <w:t>诊疗标准化操作流程和制度。</w:t>
      </w:r>
    </w:p>
    <w:p w14:paraId="6876D988" w14:textId="3D7F0770" w:rsidR="007A201C" w:rsidRPr="00E8550D" w:rsidRDefault="007A201C" w:rsidP="00A65E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（三）重视</w:t>
      </w:r>
      <w:r w:rsidR="006E33C0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癌患者生存质量，能够提供疼痛多学科协作、营养治疗和舒缓医疗等服务。</w:t>
      </w:r>
    </w:p>
    <w:p w14:paraId="32842FF1" w14:textId="76DE9BE8" w:rsidR="007A201C" w:rsidRPr="00E8550D" w:rsidRDefault="007A201C" w:rsidP="00A65E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（四）</w:t>
      </w:r>
      <w:r w:rsidR="006E33C0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癌患者随访工作开展情况。具备开展随访工作条件，坚持以患者为中心，以科学的方法和规范化的管理，定期与患者联系，了解患者治疗后的恢复情况和生活状态并提出康复指导。</w:t>
      </w:r>
    </w:p>
    <w:p w14:paraId="0FDDC918" w14:textId="233E61A0" w:rsidR="007A201C" w:rsidRPr="00E8550D" w:rsidRDefault="007A201C" w:rsidP="00A65E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（五）在国家癌症中心的指导下积极开展医院</w:t>
      </w:r>
      <w:r w:rsidR="006E33C0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癌诊疗质控工作，持续对医院</w:t>
      </w:r>
      <w:r w:rsidR="006E33C0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癌诊疗质量指标进行监测评价。</w:t>
      </w:r>
    </w:p>
    <w:p w14:paraId="5D781616" w14:textId="77777777" w:rsidR="0031073C" w:rsidRDefault="0031073C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27F90714" w14:textId="77777777" w:rsidR="0071534F" w:rsidRDefault="0071534F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4A784A9A" w14:textId="539B228B" w:rsidR="007A201C" w:rsidRDefault="006E33C0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胰腺</w:t>
      </w:r>
      <w:r w:rsidR="007A201C" w:rsidRPr="00A60938">
        <w:rPr>
          <w:rFonts w:eastAsia="仿宋" w:hint="eastAsia"/>
          <w:sz w:val="32"/>
          <w:szCs w:val="32"/>
        </w:rPr>
        <w:t>癌诊疗质量控制指标：</w:t>
      </w:r>
    </w:p>
    <w:p w14:paraId="42F4DB30" w14:textId="77777777" w:rsidR="0071534F" w:rsidRDefault="0071534F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63864F6E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lastRenderedPageBreak/>
        <w:t xml:space="preserve">PC-01-01 </w:t>
      </w:r>
      <w:r w:rsidRPr="0071534F">
        <w:rPr>
          <w:rFonts w:eastAsia="仿宋" w:hint="eastAsia"/>
          <w:sz w:val="32"/>
          <w:szCs w:val="32"/>
        </w:rPr>
        <w:t>胰腺癌患者首次治疗前临床</w:t>
      </w:r>
      <w:r w:rsidRPr="0071534F">
        <w:rPr>
          <w:rFonts w:eastAsia="仿宋" w:hint="eastAsia"/>
          <w:sz w:val="32"/>
          <w:szCs w:val="32"/>
        </w:rPr>
        <w:t>TNM</w:t>
      </w:r>
      <w:r w:rsidRPr="0071534F">
        <w:rPr>
          <w:rFonts w:eastAsia="仿宋" w:hint="eastAsia"/>
          <w:sz w:val="32"/>
          <w:szCs w:val="32"/>
        </w:rPr>
        <w:t>分期诊断率</w:t>
      </w:r>
    </w:p>
    <w:p w14:paraId="32A22473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PC-01-02 </w:t>
      </w:r>
      <w:r w:rsidRPr="0071534F">
        <w:rPr>
          <w:rFonts w:eastAsia="仿宋" w:hint="eastAsia"/>
          <w:sz w:val="32"/>
          <w:szCs w:val="32"/>
        </w:rPr>
        <w:t>胰腺癌患者首次治疗前临床</w:t>
      </w:r>
      <w:r w:rsidRPr="0071534F">
        <w:rPr>
          <w:rFonts w:eastAsia="仿宋" w:hint="eastAsia"/>
          <w:sz w:val="32"/>
          <w:szCs w:val="32"/>
        </w:rPr>
        <w:t>TNM</w:t>
      </w:r>
      <w:r w:rsidRPr="0071534F">
        <w:rPr>
          <w:rFonts w:eastAsia="仿宋" w:hint="eastAsia"/>
          <w:sz w:val="32"/>
          <w:szCs w:val="32"/>
        </w:rPr>
        <w:t>分期检查评估策略符合率</w:t>
      </w:r>
    </w:p>
    <w:p w14:paraId="115D226D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PC-02 </w:t>
      </w:r>
      <w:r w:rsidRPr="0071534F">
        <w:rPr>
          <w:rFonts w:eastAsia="仿宋" w:hint="eastAsia"/>
          <w:sz w:val="32"/>
          <w:szCs w:val="32"/>
        </w:rPr>
        <w:t>胰腺癌患者首次治疗前腹部增强</w:t>
      </w:r>
      <w:r w:rsidRPr="0071534F">
        <w:rPr>
          <w:rFonts w:eastAsia="仿宋" w:hint="eastAsia"/>
          <w:sz w:val="32"/>
          <w:szCs w:val="32"/>
        </w:rPr>
        <w:t>CT</w:t>
      </w:r>
      <w:r w:rsidRPr="0071534F">
        <w:rPr>
          <w:rFonts w:eastAsia="仿宋" w:hint="eastAsia"/>
          <w:sz w:val="32"/>
          <w:szCs w:val="32"/>
        </w:rPr>
        <w:t>或</w:t>
      </w:r>
      <w:r w:rsidRPr="0071534F">
        <w:rPr>
          <w:rFonts w:eastAsia="仿宋" w:hint="eastAsia"/>
          <w:sz w:val="32"/>
          <w:szCs w:val="32"/>
        </w:rPr>
        <w:t>MRI</w:t>
      </w:r>
      <w:r w:rsidRPr="0071534F">
        <w:rPr>
          <w:rFonts w:eastAsia="仿宋" w:hint="eastAsia"/>
          <w:sz w:val="32"/>
          <w:szCs w:val="32"/>
        </w:rPr>
        <w:t>诊断率</w:t>
      </w:r>
    </w:p>
    <w:p w14:paraId="3CFE707C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PC-03 </w:t>
      </w:r>
      <w:r w:rsidRPr="0071534F">
        <w:rPr>
          <w:rFonts w:eastAsia="仿宋" w:hint="eastAsia"/>
          <w:sz w:val="32"/>
          <w:szCs w:val="32"/>
        </w:rPr>
        <w:t>胰腺癌患者首次治疗前腹部增强</w:t>
      </w:r>
      <w:r w:rsidRPr="0071534F">
        <w:rPr>
          <w:rFonts w:eastAsia="仿宋" w:hint="eastAsia"/>
          <w:sz w:val="32"/>
          <w:szCs w:val="32"/>
        </w:rPr>
        <w:t>CT</w:t>
      </w:r>
      <w:r w:rsidRPr="0071534F">
        <w:rPr>
          <w:rFonts w:eastAsia="仿宋" w:hint="eastAsia"/>
          <w:sz w:val="32"/>
          <w:szCs w:val="32"/>
        </w:rPr>
        <w:t>或</w:t>
      </w:r>
      <w:r w:rsidRPr="0071534F">
        <w:rPr>
          <w:rFonts w:eastAsia="仿宋" w:hint="eastAsia"/>
          <w:sz w:val="32"/>
          <w:szCs w:val="32"/>
        </w:rPr>
        <w:t>MRI</w:t>
      </w:r>
      <w:r w:rsidRPr="0071534F">
        <w:rPr>
          <w:rFonts w:eastAsia="仿宋" w:hint="eastAsia"/>
          <w:sz w:val="32"/>
          <w:szCs w:val="32"/>
        </w:rPr>
        <w:t>诊断报告完整率</w:t>
      </w:r>
    </w:p>
    <w:p w14:paraId="082E2A6E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PC-04 </w:t>
      </w:r>
      <w:r w:rsidRPr="0071534F">
        <w:rPr>
          <w:rFonts w:eastAsia="仿宋" w:hint="eastAsia"/>
          <w:sz w:val="32"/>
          <w:szCs w:val="32"/>
        </w:rPr>
        <w:t>胰腺</w:t>
      </w:r>
      <w:proofErr w:type="gramStart"/>
      <w:r w:rsidRPr="0071534F">
        <w:rPr>
          <w:rFonts w:eastAsia="仿宋" w:hint="eastAsia"/>
          <w:sz w:val="32"/>
          <w:szCs w:val="32"/>
        </w:rPr>
        <w:t>癌首次</w:t>
      </w:r>
      <w:proofErr w:type="gramEnd"/>
      <w:r w:rsidRPr="0071534F">
        <w:rPr>
          <w:rFonts w:eastAsia="仿宋" w:hint="eastAsia"/>
          <w:sz w:val="32"/>
          <w:szCs w:val="32"/>
        </w:rPr>
        <w:t>治疗为非根治性手术治疗的患者治疗前病理学诊断完成率</w:t>
      </w:r>
    </w:p>
    <w:p w14:paraId="6E1E6838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PC-05 </w:t>
      </w:r>
      <w:r w:rsidRPr="0071534F">
        <w:rPr>
          <w:rFonts w:eastAsia="仿宋" w:hint="eastAsia"/>
          <w:sz w:val="32"/>
          <w:szCs w:val="32"/>
        </w:rPr>
        <w:t>手术治疗后胰腺癌患者病理</w:t>
      </w:r>
      <w:r w:rsidRPr="0071534F">
        <w:rPr>
          <w:rFonts w:eastAsia="仿宋" w:hint="eastAsia"/>
          <w:sz w:val="32"/>
          <w:szCs w:val="32"/>
        </w:rPr>
        <w:t>TNM</w:t>
      </w:r>
      <w:r w:rsidRPr="0071534F">
        <w:rPr>
          <w:rFonts w:eastAsia="仿宋" w:hint="eastAsia"/>
          <w:sz w:val="32"/>
          <w:szCs w:val="32"/>
        </w:rPr>
        <w:t>分期评估率</w:t>
      </w:r>
    </w:p>
    <w:p w14:paraId="1F911745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PC-06 </w:t>
      </w:r>
      <w:r w:rsidRPr="0071534F">
        <w:rPr>
          <w:rFonts w:eastAsia="仿宋" w:hint="eastAsia"/>
          <w:sz w:val="32"/>
          <w:szCs w:val="32"/>
        </w:rPr>
        <w:t>胰腺癌患者手术治疗后病理报告完整率</w:t>
      </w:r>
    </w:p>
    <w:p w14:paraId="1C366D56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PC-07 </w:t>
      </w:r>
      <w:r w:rsidRPr="0071534F">
        <w:rPr>
          <w:rFonts w:eastAsia="仿宋" w:hint="eastAsia"/>
          <w:sz w:val="32"/>
          <w:szCs w:val="32"/>
        </w:rPr>
        <w:t>手术切除的胰腺癌患者术中淋巴结清扫率</w:t>
      </w:r>
    </w:p>
    <w:p w14:paraId="6F0D49B7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>PC-08</w:t>
      </w:r>
      <w:r w:rsidRPr="0071534F">
        <w:rPr>
          <w:rFonts w:eastAsia="仿宋" w:hint="eastAsia"/>
          <w:sz w:val="32"/>
          <w:szCs w:val="32"/>
        </w:rPr>
        <w:t>手术治疗的胰腺癌患者中微创</w:t>
      </w:r>
      <w:proofErr w:type="gramStart"/>
      <w:r w:rsidRPr="0071534F">
        <w:rPr>
          <w:rFonts w:eastAsia="仿宋" w:hint="eastAsia"/>
          <w:sz w:val="32"/>
          <w:szCs w:val="32"/>
        </w:rPr>
        <w:t>手术占</w:t>
      </w:r>
      <w:proofErr w:type="gramEnd"/>
      <w:r w:rsidRPr="0071534F">
        <w:rPr>
          <w:rFonts w:eastAsia="仿宋" w:hint="eastAsia"/>
          <w:sz w:val="32"/>
          <w:szCs w:val="32"/>
        </w:rPr>
        <w:t>比</w:t>
      </w:r>
    </w:p>
    <w:p w14:paraId="6BD1EAA3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PC-09 </w:t>
      </w:r>
      <w:r w:rsidRPr="0071534F">
        <w:rPr>
          <w:rFonts w:eastAsia="仿宋" w:hint="eastAsia"/>
          <w:sz w:val="32"/>
          <w:szCs w:val="32"/>
        </w:rPr>
        <w:t>经根治性手术治疗的胰腺癌患者行辅助治疗的比例</w:t>
      </w:r>
    </w:p>
    <w:p w14:paraId="6F23647A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PC-10 </w:t>
      </w:r>
      <w:r w:rsidRPr="0071534F">
        <w:rPr>
          <w:rFonts w:eastAsia="仿宋" w:hint="eastAsia"/>
          <w:sz w:val="32"/>
          <w:szCs w:val="32"/>
        </w:rPr>
        <w:t>胰腺癌患者首次治疗行姑息治疗的比例</w:t>
      </w:r>
    </w:p>
    <w:p w14:paraId="3BD28080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>PC-11 IV</w:t>
      </w:r>
      <w:r w:rsidRPr="0071534F">
        <w:rPr>
          <w:rFonts w:eastAsia="仿宋" w:hint="eastAsia"/>
          <w:sz w:val="32"/>
          <w:szCs w:val="32"/>
        </w:rPr>
        <w:t>期胰腺癌患者首次抗肿瘤药物治疗采用推荐一线方案的比例</w:t>
      </w:r>
    </w:p>
    <w:p w14:paraId="159882CC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PC-12 </w:t>
      </w:r>
      <w:r w:rsidRPr="0071534F">
        <w:rPr>
          <w:rFonts w:eastAsia="仿宋" w:hint="eastAsia"/>
          <w:sz w:val="32"/>
          <w:szCs w:val="32"/>
        </w:rPr>
        <w:t>胰腺癌患者抗肿瘤药物治疗不良反应评价比例</w:t>
      </w:r>
    </w:p>
    <w:p w14:paraId="16DE8CDA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PC-13 </w:t>
      </w:r>
      <w:r w:rsidRPr="0071534F">
        <w:rPr>
          <w:rFonts w:eastAsia="仿宋" w:hint="eastAsia"/>
          <w:sz w:val="32"/>
          <w:szCs w:val="32"/>
        </w:rPr>
        <w:t>放射治疗的胰腺癌患者中精准放疗比例</w:t>
      </w:r>
    </w:p>
    <w:p w14:paraId="72CE3845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PC-14 </w:t>
      </w:r>
      <w:r w:rsidRPr="0071534F">
        <w:rPr>
          <w:rFonts w:eastAsia="仿宋" w:hint="eastAsia"/>
          <w:sz w:val="32"/>
          <w:szCs w:val="32"/>
        </w:rPr>
        <w:t>胰腺癌患者放疗记录规范率</w:t>
      </w:r>
    </w:p>
    <w:p w14:paraId="6C51AE4B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PC-15 </w:t>
      </w:r>
      <w:r w:rsidRPr="0071534F">
        <w:rPr>
          <w:rFonts w:eastAsia="仿宋" w:hint="eastAsia"/>
          <w:sz w:val="32"/>
          <w:szCs w:val="32"/>
        </w:rPr>
        <w:t>胰腺癌患者精准放疗后结果评价比例</w:t>
      </w:r>
    </w:p>
    <w:p w14:paraId="14985D93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PC-16 </w:t>
      </w:r>
      <w:r w:rsidRPr="0071534F">
        <w:rPr>
          <w:rFonts w:eastAsia="仿宋" w:hint="eastAsia"/>
          <w:sz w:val="32"/>
          <w:szCs w:val="32"/>
        </w:rPr>
        <w:t>胰腺癌患者首次非手术治疗后完成疗效评价比例</w:t>
      </w:r>
    </w:p>
    <w:p w14:paraId="344A7A4A" w14:textId="77777777" w:rsidR="0071534F" w:rsidRPr="0071534F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PC-17 </w:t>
      </w:r>
      <w:r w:rsidRPr="0071534F">
        <w:rPr>
          <w:rFonts w:eastAsia="仿宋" w:hint="eastAsia"/>
          <w:sz w:val="32"/>
          <w:szCs w:val="32"/>
        </w:rPr>
        <w:t>住院胰腺癌患者治疗后随访率</w:t>
      </w:r>
    </w:p>
    <w:p w14:paraId="54BB948C" w14:textId="0A8B8F40" w:rsidR="0071534F" w:rsidRPr="00A60938" w:rsidRDefault="0071534F" w:rsidP="0071534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534F">
        <w:rPr>
          <w:rFonts w:eastAsia="仿宋" w:hint="eastAsia"/>
          <w:sz w:val="32"/>
          <w:szCs w:val="32"/>
        </w:rPr>
        <w:t xml:space="preserve">PC-QC-01 </w:t>
      </w:r>
      <w:r w:rsidRPr="0071534F">
        <w:rPr>
          <w:rFonts w:eastAsia="仿宋" w:hint="eastAsia"/>
          <w:sz w:val="32"/>
          <w:szCs w:val="32"/>
        </w:rPr>
        <w:t>胰腺癌患者</w:t>
      </w:r>
      <w:proofErr w:type="gramStart"/>
      <w:r w:rsidRPr="0071534F">
        <w:rPr>
          <w:rFonts w:eastAsia="仿宋" w:hint="eastAsia"/>
          <w:sz w:val="32"/>
          <w:szCs w:val="32"/>
        </w:rPr>
        <w:t>围手术期</w:t>
      </w:r>
      <w:proofErr w:type="gramEnd"/>
      <w:r w:rsidRPr="0071534F">
        <w:rPr>
          <w:rFonts w:eastAsia="仿宋" w:hint="eastAsia"/>
          <w:sz w:val="32"/>
          <w:szCs w:val="32"/>
        </w:rPr>
        <w:t>死亡率</w:t>
      </w:r>
    </w:p>
    <w:p w14:paraId="7C6D30DD" w14:textId="77777777" w:rsidR="007A201C" w:rsidRPr="00A60938" w:rsidRDefault="007A201C" w:rsidP="007A201C">
      <w:pPr>
        <w:spacing w:line="276" w:lineRule="auto"/>
        <w:ind w:firstLine="567"/>
        <w:rPr>
          <w:rFonts w:ascii="黑体" w:eastAsia="黑体" w:hAnsi="黑体"/>
          <w:sz w:val="32"/>
          <w:szCs w:val="32"/>
        </w:rPr>
      </w:pPr>
      <w:r w:rsidRPr="00A60938">
        <w:rPr>
          <w:rFonts w:ascii="黑体" w:eastAsia="黑体" w:hAnsi="黑体" w:hint="eastAsia"/>
          <w:sz w:val="32"/>
          <w:szCs w:val="32"/>
        </w:rPr>
        <w:lastRenderedPageBreak/>
        <w:t>三、质控数据上报与管理</w:t>
      </w:r>
    </w:p>
    <w:p w14:paraId="03F87ADC" w14:textId="77777777" w:rsidR="007A201C" w:rsidRDefault="007A201C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0938">
        <w:rPr>
          <w:rFonts w:eastAsia="仿宋" w:hint="eastAsia"/>
          <w:sz w:val="32"/>
          <w:szCs w:val="32"/>
        </w:rPr>
        <w:t>试点医院应安排专人负责维护医院和监测网平台的数据对接平台，保障质控数据的连续性、完整性、准确性。</w:t>
      </w:r>
    </w:p>
    <w:p w14:paraId="3E04A8BD" w14:textId="77777777" w:rsidR="0071534F" w:rsidRPr="00A60938" w:rsidRDefault="0071534F" w:rsidP="00A65E6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6E8E050A" w14:textId="77777777" w:rsidR="007A201C" w:rsidRPr="00A60938" w:rsidRDefault="007A201C" w:rsidP="007A201C">
      <w:pPr>
        <w:spacing w:line="276" w:lineRule="auto"/>
        <w:ind w:firstLine="567"/>
        <w:rPr>
          <w:rFonts w:ascii="黑体" w:eastAsia="黑体" w:hAnsi="黑体"/>
          <w:sz w:val="32"/>
          <w:szCs w:val="32"/>
        </w:rPr>
      </w:pPr>
      <w:r w:rsidRPr="00A60938">
        <w:rPr>
          <w:rFonts w:ascii="黑体" w:eastAsia="黑体" w:hAnsi="黑体" w:hint="eastAsia"/>
          <w:sz w:val="32"/>
          <w:szCs w:val="32"/>
        </w:rPr>
        <w:t>四、培训与教育</w:t>
      </w:r>
    </w:p>
    <w:p w14:paraId="59643689" w14:textId="5F002136" w:rsidR="007A201C" w:rsidRPr="00E8550D" w:rsidRDefault="007A201C" w:rsidP="00A65E6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（一）国家癌症中心会定期组织相关培训项目，试点医院应按要求组织人员积极参加。</w:t>
      </w:r>
    </w:p>
    <w:p w14:paraId="748D00CE" w14:textId="22456C9E" w:rsidR="007A201C" w:rsidRPr="00E8550D" w:rsidRDefault="007A201C" w:rsidP="00A65E6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E8550D">
        <w:rPr>
          <w:rFonts w:ascii="仿宋" w:eastAsia="仿宋" w:hAnsi="仿宋" w:hint="eastAsia"/>
          <w:sz w:val="32"/>
          <w:szCs w:val="32"/>
        </w:rPr>
        <w:t>（二）试点医院应建立完整的培训教育体系，联合所在省级</w:t>
      </w:r>
      <w:r w:rsidR="00404CDA">
        <w:rPr>
          <w:rFonts w:ascii="仿宋" w:eastAsia="仿宋" w:hAnsi="仿宋" w:hint="eastAsia"/>
          <w:sz w:val="32"/>
          <w:szCs w:val="32"/>
        </w:rPr>
        <w:t>胰腺</w:t>
      </w:r>
      <w:r w:rsidRPr="00E8550D">
        <w:rPr>
          <w:rFonts w:ascii="仿宋" w:eastAsia="仿宋" w:hAnsi="仿宋" w:hint="eastAsia"/>
          <w:sz w:val="32"/>
          <w:szCs w:val="32"/>
        </w:rPr>
        <w:t>癌诊疗联盟医院举办能力提升学术活动，提高相关医务人员的规范化诊疗能力。</w:t>
      </w:r>
    </w:p>
    <w:p w14:paraId="2507B2F0" w14:textId="77777777" w:rsidR="00A82700" w:rsidRPr="007A201C" w:rsidRDefault="00A82700" w:rsidP="006C6B39">
      <w:pPr>
        <w:spacing w:line="276" w:lineRule="auto"/>
        <w:ind w:firstLine="567"/>
        <w:rPr>
          <w:rFonts w:ascii="仿宋" w:eastAsia="仿宋" w:hAnsi="仿宋"/>
          <w:sz w:val="28"/>
          <w:szCs w:val="32"/>
        </w:rPr>
      </w:pPr>
    </w:p>
    <w:p w14:paraId="3368587C" w14:textId="7AA469FE" w:rsidR="00A82700" w:rsidRDefault="00A82700" w:rsidP="006C6B39">
      <w:pPr>
        <w:spacing w:line="276" w:lineRule="auto"/>
        <w:ind w:firstLine="567"/>
        <w:rPr>
          <w:rFonts w:ascii="仿宋" w:eastAsia="仿宋" w:hAnsi="仿宋"/>
          <w:sz w:val="28"/>
          <w:szCs w:val="32"/>
        </w:rPr>
      </w:pPr>
    </w:p>
    <w:p w14:paraId="1083219F" w14:textId="11AD9D6B" w:rsidR="00874F95" w:rsidRDefault="00874F95" w:rsidP="006C6B39">
      <w:pPr>
        <w:spacing w:line="276" w:lineRule="auto"/>
        <w:ind w:firstLine="567"/>
        <w:rPr>
          <w:rFonts w:ascii="仿宋" w:eastAsia="仿宋" w:hAnsi="仿宋"/>
          <w:sz w:val="28"/>
          <w:szCs w:val="32"/>
        </w:rPr>
      </w:pPr>
    </w:p>
    <w:p w14:paraId="4C7CBE61" w14:textId="68A06507" w:rsidR="00874F95" w:rsidRDefault="00874F95" w:rsidP="006C6B39">
      <w:pPr>
        <w:spacing w:line="276" w:lineRule="auto"/>
        <w:ind w:firstLine="567"/>
        <w:rPr>
          <w:rFonts w:ascii="仿宋" w:eastAsia="仿宋" w:hAnsi="仿宋"/>
          <w:sz w:val="28"/>
          <w:szCs w:val="32"/>
        </w:rPr>
      </w:pPr>
    </w:p>
    <w:p w14:paraId="460102F7" w14:textId="77777777" w:rsidR="00D232AB" w:rsidRDefault="00D232AB" w:rsidP="005A523F">
      <w:pPr>
        <w:tabs>
          <w:tab w:val="left" w:pos="6079"/>
        </w:tabs>
        <w:spacing w:line="276" w:lineRule="auto"/>
        <w:rPr>
          <w:rFonts w:eastAsia="仿宋"/>
          <w:sz w:val="32"/>
          <w:szCs w:val="32"/>
        </w:rPr>
      </w:pPr>
    </w:p>
    <w:p w14:paraId="5958249E" w14:textId="77777777" w:rsidR="00A65E6A" w:rsidRDefault="00A65E6A" w:rsidP="005A523F">
      <w:pPr>
        <w:tabs>
          <w:tab w:val="left" w:pos="6079"/>
        </w:tabs>
        <w:spacing w:line="276" w:lineRule="auto"/>
        <w:rPr>
          <w:rFonts w:eastAsia="仿宋"/>
          <w:sz w:val="32"/>
          <w:szCs w:val="32"/>
        </w:rPr>
      </w:pPr>
    </w:p>
    <w:sectPr w:rsidR="00A65E6A" w:rsidSect="003D25CC">
      <w:footerReference w:type="even" r:id="rId8"/>
      <w:footerReference w:type="default" r:id="rId9"/>
      <w:pgSz w:w="11906" w:h="16838"/>
      <w:pgMar w:top="2098" w:right="1531" w:bottom="140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8459" w14:textId="77777777" w:rsidR="00605C79" w:rsidRDefault="00605C79">
      <w:r>
        <w:separator/>
      </w:r>
    </w:p>
  </w:endnote>
  <w:endnote w:type="continuationSeparator" w:id="0">
    <w:p w14:paraId="23C54ACB" w14:textId="77777777" w:rsidR="00605C79" w:rsidRDefault="006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E08A" w14:textId="5B633380" w:rsidR="000E7B03" w:rsidRDefault="000E7B03" w:rsidP="00D1644C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6835EFC3" w14:textId="77777777" w:rsidR="000E7B03" w:rsidRDefault="000E7B03" w:rsidP="001856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8902" w14:textId="45C5DF53" w:rsidR="000E7B03" w:rsidRPr="00423826" w:rsidRDefault="000E7B03" w:rsidP="00D1644C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423826">
      <w:rPr>
        <w:rStyle w:val="a6"/>
        <w:rFonts w:ascii="宋体" w:hAnsi="宋体"/>
        <w:sz w:val="28"/>
        <w:szCs w:val="28"/>
      </w:rPr>
      <w:fldChar w:fldCharType="begin"/>
    </w:r>
    <w:r w:rsidRPr="00423826">
      <w:rPr>
        <w:rStyle w:val="a6"/>
        <w:rFonts w:ascii="宋体" w:hAnsi="宋体"/>
        <w:sz w:val="28"/>
        <w:szCs w:val="28"/>
      </w:rPr>
      <w:instrText xml:space="preserve">PAGE  </w:instrText>
    </w:r>
    <w:r w:rsidRPr="00423826">
      <w:rPr>
        <w:rStyle w:val="a6"/>
        <w:rFonts w:ascii="宋体" w:hAnsi="宋体"/>
        <w:sz w:val="28"/>
        <w:szCs w:val="28"/>
      </w:rPr>
      <w:fldChar w:fldCharType="separate"/>
    </w:r>
    <w:r w:rsidR="000C4EF8">
      <w:rPr>
        <w:rStyle w:val="a6"/>
        <w:rFonts w:ascii="宋体" w:hAnsi="宋体"/>
        <w:noProof/>
        <w:sz w:val="28"/>
        <w:szCs w:val="28"/>
      </w:rPr>
      <w:t>- 12 -</w:t>
    </w:r>
    <w:r w:rsidRPr="00423826">
      <w:rPr>
        <w:rStyle w:val="a6"/>
        <w:rFonts w:ascii="宋体" w:hAnsi="宋体"/>
        <w:sz w:val="28"/>
        <w:szCs w:val="28"/>
      </w:rPr>
      <w:fldChar w:fldCharType="end"/>
    </w:r>
  </w:p>
  <w:p w14:paraId="31B0E0A1" w14:textId="77777777" w:rsidR="000E7B03" w:rsidRDefault="000E7B03" w:rsidP="001856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BAC4" w14:textId="77777777" w:rsidR="00605C79" w:rsidRDefault="00605C79">
      <w:r>
        <w:separator/>
      </w:r>
    </w:p>
  </w:footnote>
  <w:footnote w:type="continuationSeparator" w:id="0">
    <w:p w14:paraId="33825097" w14:textId="77777777" w:rsidR="00605C79" w:rsidRDefault="0060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467"/>
    <w:multiLevelType w:val="hybridMultilevel"/>
    <w:tmpl w:val="2FBE15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E0049"/>
    <w:multiLevelType w:val="hybridMultilevel"/>
    <w:tmpl w:val="857C85B4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B4DB6"/>
    <w:multiLevelType w:val="hybridMultilevel"/>
    <w:tmpl w:val="4BE27182"/>
    <w:lvl w:ilvl="0" w:tplc="0D2EF9B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1DAE48E1"/>
    <w:multiLevelType w:val="hybridMultilevel"/>
    <w:tmpl w:val="5464D2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90FD2"/>
    <w:multiLevelType w:val="hybridMultilevel"/>
    <w:tmpl w:val="AB186BCE"/>
    <w:lvl w:ilvl="0" w:tplc="E2F8C0C4">
      <w:start w:val="3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5" w15:restartNumberingAfterBreak="0">
    <w:nsid w:val="3E82420A"/>
    <w:multiLevelType w:val="hybridMultilevel"/>
    <w:tmpl w:val="6A105470"/>
    <w:lvl w:ilvl="0" w:tplc="BFB4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21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20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61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8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E9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0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8D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28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021A6"/>
    <w:multiLevelType w:val="hybridMultilevel"/>
    <w:tmpl w:val="F2041B52"/>
    <w:lvl w:ilvl="0" w:tplc="A2AAF894">
      <w:start w:val="1"/>
      <w:numFmt w:val="decimal"/>
      <w:lvlText w:val="%1）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7" w15:restartNumberingAfterBreak="0">
    <w:nsid w:val="554A3689"/>
    <w:multiLevelType w:val="hybridMultilevel"/>
    <w:tmpl w:val="CD46795E"/>
    <w:lvl w:ilvl="0" w:tplc="B9FC94D2">
      <w:start w:val="2"/>
      <w:numFmt w:val="japaneseCounting"/>
      <w:lvlText w:val="（%1）"/>
      <w:lvlJc w:val="left"/>
      <w:pPr>
        <w:ind w:left="172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58E05A56"/>
    <w:multiLevelType w:val="hybridMultilevel"/>
    <w:tmpl w:val="3F38B0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AF4383"/>
    <w:multiLevelType w:val="hybridMultilevel"/>
    <w:tmpl w:val="D8D2786C"/>
    <w:lvl w:ilvl="0" w:tplc="E6DC1D8C">
      <w:start w:val="4"/>
      <w:numFmt w:val="decimal"/>
      <w:lvlText w:val="%1）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7"/>
        </w:tabs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7"/>
        </w:tabs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7"/>
        </w:tabs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7"/>
        </w:tabs>
        <w:ind w:left="4477" w:hanging="420"/>
      </w:pPr>
    </w:lvl>
  </w:abstractNum>
  <w:abstractNum w:abstractNumId="10" w15:restartNumberingAfterBreak="0">
    <w:nsid w:val="772644A9"/>
    <w:multiLevelType w:val="hybridMultilevel"/>
    <w:tmpl w:val="C75A466E"/>
    <w:lvl w:ilvl="0" w:tplc="C0DE9ECE">
      <w:start w:val="2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4511036">
    <w:abstractNumId w:val="2"/>
  </w:num>
  <w:num w:numId="2" w16cid:durableId="550387102">
    <w:abstractNumId w:val="6"/>
  </w:num>
  <w:num w:numId="3" w16cid:durableId="532964495">
    <w:abstractNumId w:val="4"/>
  </w:num>
  <w:num w:numId="4" w16cid:durableId="2117208376">
    <w:abstractNumId w:val="9"/>
  </w:num>
  <w:num w:numId="5" w16cid:durableId="1466048631">
    <w:abstractNumId w:val="5"/>
  </w:num>
  <w:num w:numId="6" w16cid:durableId="1040592788">
    <w:abstractNumId w:val="0"/>
  </w:num>
  <w:num w:numId="7" w16cid:durableId="846136074">
    <w:abstractNumId w:val="8"/>
  </w:num>
  <w:num w:numId="8" w16cid:durableId="1752196757">
    <w:abstractNumId w:val="3"/>
  </w:num>
  <w:num w:numId="9" w16cid:durableId="1891765673">
    <w:abstractNumId w:val="1"/>
  </w:num>
  <w:num w:numId="10" w16cid:durableId="1593468532">
    <w:abstractNumId w:val="10"/>
  </w:num>
  <w:num w:numId="11" w16cid:durableId="96143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CE"/>
    <w:rsid w:val="000008DC"/>
    <w:rsid w:val="00003F7B"/>
    <w:rsid w:val="00005269"/>
    <w:rsid w:val="000106F1"/>
    <w:rsid w:val="000110EF"/>
    <w:rsid w:val="000125DA"/>
    <w:rsid w:val="00012BFD"/>
    <w:rsid w:val="00013030"/>
    <w:rsid w:val="000217FD"/>
    <w:rsid w:val="00026A6C"/>
    <w:rsid w:val="000276E3"/>
    <w:rsid w:val="00032A3D"/>
    <w:rsid w:val="00034A0C"/>
    <w:rsid w:val="00034C52"/>
    <w:rsid w:val="00040DC6"/>
    <w:rsid w:val="00046A6E"/>
    <w:rsid w:val="000521F3"/>
    <w:rsid w:val="00052A8C"/>
    <w:rsid w:val="000544F8"/>
    <w:rsid w:val="00056CCE"/>
    <w:rsid w:val="00056F53"/>
    <w:rsid w:val="00057581"/>
    <w:rsid w:val="0007097C"/>
    <w:rsid w:val="000738F2"/>
    <w:rsid w:val="00074741"/>
    <w:rsid w:val="00083A6A"/>
    <w:rsid w:val="00084A1D"/>
    <w:rsid w:val="00091711"/>
    <w:rsid w:val="00096002"/>
    <w:rsid w:val="000A3CEA"/>
    <w:rsid w:val="000A47BB"/>
    <w:rsid w:val="000B377B"/>
    <w:rsid w:val="000B7A30"/>
    <w:rsid w:val="000C39BC"/>
    <w:rsid w:val="000C4EF8"/>
    <w:rsid w:val="000C7D36"/>
    <w:rsid w:val="000D19BA"/>
    <w:rsid w:val="000D3A32"/>
    <w:rsid w:val="000D4A26"/>
    <w:rsid w:val="000D52B1"/>
    <w:rsid w:val="000D7AD7"/>
    <w:rsid w:val="000D7C32"/>
    <w:rsid w:val="000E168C"/>
    <w:rsid w:val="000E525A"/>
    <w:rsid w:val="000E56AC"/>
    <w:rsid w:val="000E7B03"/>
    <w:rsid w:val="000F6FF1"/>
    <w:rsid w:val="0011022A"/>
    <w:rsid w:val="001117BF"/>
    <w:rsid w:val="001238ED"/>
    <w:rsid w:val="00124814"/>
    <w:rsid w:val="001251FB"/>
    <w:rsid w:val="00127C40"/>
    <w:rsid w:val="00137CE3"/>
    <w:rsid w:val="001425EA"/>
    <w:rsid w:val="00143DD9"/>
    <w:rsid w:val="00144CB7"/>
    <w:rsid w:val="001466CE"/>
    <w:rsid w:val="001502B3"/>
    <w:rsid w:val="001506BC"/>
    <w:rsid w:val="00152691"/>
    <w:rsid w:val="001535F4"/>
    <w:rsid w:val="0015732F"/>
    <w:rsid w:val="001601FB"/>
    <w:rsid w:val="00160282"/>
    <w:rsid w:val="001637C8"/>
    <w:rsid w:val="00164682"/>
    <w:rsid w:val="00165B62"/>
    <w:rsid w:val="00171107"/>
    <w:rsid w:val="001722DC"/>
    <w:rsid w:val="00185666"/>
    <w:rsid w:val="001863EE"/>
    <w:rsid w:val="0019638E"/>
    <w:rsid w:val="001A200B"/>
    <w:rsid w:val="001B2725"/>
    <w:rsid w:val="001B57CB"/>
    <w:rsid w:val="001B5FDD"/>
    <w:rsid w:val="001B67A8"/>
    <w:rsid w:val="001C1103"/>
    <w:rsid w:val="001C28A3"/>
    <w:rsid w:val="001C3130"/>
    <w:rsid w:val="001C3E37"/>
    <w:rsid w:val="001C5ACC"/>
    <w:rsid w:val="001C6E71"/>
    <w:rsid w:val="001C79CF"/>
    <w:rsid w:val="001D041E"/>
    <w:rsid w:val="001D385A"/>
    <w:rsid w:val="001E0647"/>
    <w:rsid w:val="001E3BF2"/>
    <w:rsid w:val="001E5727"/>
    <w:rsid w:val="001E6227"/>
    <w:rsid w:val="001F163E"/>
    <w:rsid w:val="001F57B3"/>
    <w:rsid w:val="001F5E3A"/>
    <w:rsid w:val="001F7DF6"/>
    <w:rsid w:val="002017DE"/>
    <w:rsid w:val="0020310F"/>
    <w:rsid w:val="0020393C"/>
    <w:rsid w:val="00216CB7"/>
    <w:rsid w:val="00223837"/>
    <w:rsid w:val="002259EE"/>
    <w:rsid w:val="0022671E"/>
    <w:rsid w:val="00230FD8"/>
    <w:rsid w:val="00232367"/>
    <w:rsid w:val="00233D26"/>
    <w:rsid w:val="00237DD4"/>
    <w:rsid w:val="002402A9"/>
    <w:rsid w:val="00240701"/>
    <w:rsid w:val="00241801"/>
    <w:rsid w:val="00242336"/>
    <w:rsid w:val="00243487"/>
    <w:rsid w:val="00245E0A"/>
    <w:rsid w:val="0024753E"/>
    <w:rsid w:val="0024772A"/>
    <w:rsid w:val="00247C62"/>
    <w:rsid w:val="00250B8E"/>
    <w:rsid w:val="0025484F"/>
    <w:rsid w:val="00261898"/>
    <w:rsid w:val="00262815"/>
    <w:rsid w:val="00272536"/>
    <w:rsid w:val="00273144"/>
    <w:rsid w:val="00281DC1"/>
    <w:rsid w:val="0028786E"/>
    <w:rsid w:val="00293022"/>
    <w:rsid w:val="00296A38"/>
    <w:rsid w:val="002A196E"/>
    <w:rsid w:val="002B1D07"/>
    <w:rsid w:val="002B2A7A"/>
    <w:rsid w:val="002B43BC"/>
    <w:rsid w:val="002B6DC2"/>
    <w:rsid w:val="002C6BD9"/>
    <w:rsid w:val="002D4AB4"/>
    <w:rsid w:val="002D6D89"/>
    <w:rsid w:val="002D748B"/>
    <w:rsid w:val="002E1699"/>
    <w:rsid w:val="002E1BEF"/>
    <w:rsid w:val="002E5540"/>
    <w:rsid w:val="002E557A"/>
    <w:rsid w:val="002E6757"/>
    <w:rsid w:val="002E7475"/>
    <w:rsid w:val="002F39E7"/>
    <w:rsid w:val="002F5431"/>
    <w:rsid w:val="00306836"/>
    <w:rsid w:val="0031073C"/>
    <w:rsid w:val="00310D9B"/>
    <w:rsid w:val="00315A2B"/>
    <w:rsid w:val="00316F0B"/>
    <w:rsid w:val="00323127"/>
    <w:rsid w:val="00324189"/>
    <w:rsid w:val="0032427C"/>
    <w:rsid w:val="003254D8"/>
    <w:rsid w:val="00325C45"/>
    <w:rsid w:val="0032753D"/>
    <w:rsid w:val="00327A30"/>
    <w:rsid w:val="003314AF"/>
    <w:rsid w:val="00331C3B"/>
    <w:rsid w:val="00334727"/>
    <w:rsid w:val="003348CE"/>
    <w:rsid w:val="003404FE"/>
    <w:rsid w:val="00344291"/>
    <w:rsid w:val="00347F9C"/>
    <w:rsid w:val="003500EE"/>
    <w:rsid w:val="00350C7D"/>
    <w:rsid w:val="00350E5F"/>
    <w:rsid w:val="0035687E"/>
    <w:rsid w:val="00357629"/>
    <w:rsid w:val="003615D3"/>
    <w:rsid w:val="00362BA2"/>
    <w:rsid w:val="00370DB7"/>
    <w:rsid w:val="00372962"/>
    <w:rsid w:val="003779FD"/>
    <w:rsid w:val="00387C0B"/>
    <w:rsid w:val="00394BC5"/>
    <w:rsid w:val="00397752"/>
    <w:rsid w:val="003B03E4"/>
    <w:rsid w:val="003B320F"/>
    <w:rsid w:val="003B5465"/>
    <w:rsid w:val="003C22A3"/>
    <w:rsid w:val="003C38A0"/>
    <w:rsid w:val="003C3D10"/>
    <w:rsid w:val="003C53DE"/>
    <w:rsid w:val="003D096B"/>
    <w:rsid w:val="003D25CC"/>
    <w:rsid w:val="003E6C02"/>
    <w:rsid w:val="003E7326"/>
    <w:rsid w:val="003E7455"/>
    <w:rsid w:val="003F347D"/>
    <w:rsid w:val="003F3BF3"/>
    <w:rsid w:val="00400122"/>
    <w:rsid w:val="00401943"/>
    <w:rsid w:val="004027DE"/>
    <w:rsid w:val="0040480B"/>
    <w:rsid w:val="00404CDA"/>
    <w:rsid w:val="00407718"/>
    <w:rsid w:val="0041231D"/>
    <w:rsid w:val="004156C5"/>
    <w:rsid w:val="00423826"/>
    <w:rsid w:val="00424795"/>
    <w:rsid w:val="0043072C"/>
    <w:rsid w:val="0043630F"/>
    <w:rsid w:val="00436F3B"/>
    <w:rsid w:val="00437728"/>
    <w:rsid w:val="0044002E"/>
    <w:rsid w:val="00440C18"/>
    <w:rsid w:val="00445762"/>
    <w:rsid w:val="00445A15"/>
    <w:rsid w:val="00447641"/>
    <w:rsid w:val="0045255D"/>
    <w:rsid w:val="0045383B"/>
    <w:rsid w:val="004538DE"/>
    <w:rsid w:val="00456D7F"/>
    <w:rsid w:val="0046108A"/>
    <w:rsid w:val="00461806"/>
    <w:rsid w:val="0046273F"/>
    <w:rsid w:val="00463B1E"/>
    <w:rsid w:val="004660B7"/>
    <w:rsid w:val="00466422"/>
    <w:rsid w:val="00471EAC"/>
    <w:rsid w:val="00472275"/>
    <w:rsid w:val="00475BCC"/>
    <w:rsid w:val="0049429F"/>
    <w:rsid w:val="004A069B"/>
    <w:rsid w:val="004A08AD"/>
    <w:rsid w:val="004A15E8"/>
    <w:rsid w:val="004A7254"/>
    <w:rsid w:val="004B626F"/>
    <w:rsid w:val="004C1C78"/>
    <w:rsid w:val="004E453D"/>
    <w:rsid w:val="004E6C66"/>
    <w:rsid w:val="00504D2C"/>
    <w:rsid w:val="00505D7F"/>
    <w:rsid w:val="00507B5B"/>
    <w:rsid w:val="0051256F"/>
    <w:rsid w:val="0051737C"/>
    <w:rsid w:val="00517634"/>
    <w:rsid w:val="00524671"/>
    <w:rsid w:val="005257B6"/>
    <w:rsid w:val="00526804"/>
    <w:rsid w:val="00533A6A"/>
    <w:rsid w:val="0053527B"/>
    <w:rsid w:val="00535C59"/>
    <w:rsid w:val="005370CC"/>
    <w:rsid w:val="0054453C"/>
    <w:rsid w:val="0054641B"/>
    <w:rsid w:val="00547169"/>
    <w:rsid w:val="00550138"/>
    <w:rsid w:val="00550BB2"/>
    <w:rsid w:val="00556CC1"/>
    <w:rsid w:val="00562D6E"/>
    <w:rsid w:val="00566617"/>
    <w:rsid w:val="00566925"/>
    <w:rsid w:val="00566FD6"/>
    <w:rsid w:val="00571A37"/>
    <w:rsid w:val="00572F05"/>
    <w:rsid w:val="00576809"/>
    <w:rsid w:val="0057715E"/>
    <w:rsid w:val="00580345"/>
    <w:rsid w:val="00594DE5"/>
    <w:rsid w:val="0059595D"/>
    <w:rsid w:val="00595CBF"/>
    <w:rsid w:val="005A1C02"/>
    <w:rsid w:val="005A1DC7"/>
    <w:rsid w:val="005A1E3F"/>
    <w:rsid w:val="005A523F"/>
    <w:rsid w:val="005A5B6E"/>
    <w:rsid w:val="005B6A51"/>
    <w:rsid w:val="005C132F"/>
    <w:rsid w:val="005C3DE3"/>
    <w:rsid w:val="005C425D"/>
    <w:rsid w:val="005C49C0"/>
    <w:rsid w:val="005C4AC6"/>
    <w:rsid w:val="005C6ABD"/>
    <w:rsid w:val="005D28D1"/>
    <w:rsid w:val="005E1CE9"/>
    <w:rsid w:val="005E2ABF"/>
    <w:rsid w:val="005F07D7"/>
    <w:rsid w:val="005F27FF"/>
    <w:rsid w:val="006000B4"/>
    <w:rsid w:val="00602BF4"/>
    <w:rsid w:val="00603322"/>
    <w:rsid w:val="0060552B"/>
    <w:rsid w:val="00605540"/>
    <w:rsid w:val="00605C79"/>
    <w:rsid w:val="00607990"/>
    <w:rsid w:val="00615C5F"/>
    <w:rsid w:val="00616823"/>
    <w:rsid w:val="00621CF7"/>
    <w:rsid w:val="0063286A"/>
    <w:rsid w:val="0063354F"/>
    <w:rsid w:val="0063428B"/>
    <w:rsid w:val="006418A2"/>
    <w:rsid w:val="00645C72"/>
    <w:rsid w:val="00647440"/>
    <w:rsid w:val="00651DE4"/>
    <w:rsid w:val="00653032"/>
    <w:rsid w:val="00653DF4"/>
    <w:rsid w:val="006723D6"/>
    <w:rsid w:val="00673CF0"/>
    <w:rsid w:val="00685842"/>
    <w:rsid w:val="00686B2A"/>
    <w:rsid w:val="006878C5"/>
    <w:rsid w:val="006931B5"/>
    <w:rsid w:val="00693690"/>
    <w:rsid w:val="006944A5"/>
    <w:rsid w:val="006A2245"/>
    <w:rsid w:val="006A4246"/>
    <w:rsid w:val="006A6F00"/>
    <w:rsid w:val="006A7519"/>
    <w:rsid w:val="006B688F"/>
    <w:rsid w:val="006C0E27"/>
    <w:rsid w:val="006C6B39"/>
    <w:rsid w:val="006C7FF5"/>
    <w:rsid w:val="006D0828"/>
    <w:rsid w:val="006D0D7C"/>
    <w:rsid w:val="006D6A4E"/>
    <w:rsid w:val="006E0F18"/>
    <w:rsid w:val="006E245F"/>
    <w:rsid w:val="006E33C0"/>
    <w:rsid w:val="006E5C8D"/>
    <w:rsid w:val="006F00EF"/>
    <w:rsid w:val="007011CA"/>
    <w:rsid w:val="00702D0B"/>
    <w:rsid w:val="00705A69"/>
    <w:rsid w:val="007065B9"/>
    <w:rsid w:val="0071534F"/>
    <w:rsid w:val="00715D80"/>
    <w:rsid w:val="0071668E"/>
    <w:rsid w:val="007173AD"/>
    <w:rsid w:val="00723355"/>
    <w:rsid w:val="0072598A"/>
    <w:rsid w:val="00735A13"/>
    <w:rsid w:val="00744BEB"/>
    <w:rsid w:val="00744E6A"/>
    <w:rsid w:val="0074508B"/>
    <w:rsid w:val="00745292"/>
    <w:rsid w:val="00747784"/>
    <w:rsid w:val="00753D59"/>
    <w:rsid w:val="0075785F"/>
    <w:rsid w:val="007615B8"/>
    <w:rsid w:val="00767ACF"/>
    <w:rsid w:val="00767CE9"/>
    <w:rsid w:val="007709F7"/>
    <w:rsid w:val="00781C52"/>
    <w:rsid w:val="00782036"/>
    <w:rsid w:val="00784428"/>
    <w:rsid w:val="0078544A"/>
    <w:rsid w:val="007A0153"/>
    <w:rsid w:val="007A201C"/>
    <w:rsid w:val="007A5200"/>
    <w:rsid w:val="007A64CA"/>
    <w:rsid w:val="007A6808"/>
    <w:rsid w:val="007B791B"/>
    <w:rsid w:val="007C7DC9"/>
    <w:rsid w:val="007D2EDC"/>
    <w:rsid w:val="007D6D0E"/>
    <w:rsid w:val="007E1B65"/>
    <w:rsid w:val="007E27DD"/>
    <w:rsid w:val="007E41A4"/>
    <w:rsid w:val="007E6634"/>
    <w:rsid w:val="007E781C"/>
    <w:rsid w:val="007E7DF8"/>
    <w:rsid w:val="007F0939"/>
    <w:rsid w:val="007F14CE"/>
    <w:rsid w:val="007F1C21"/>
    <w:rsid w:val="007F2123"/>
    <w:rsid w:val="00803972"/>
    <w:rsid w:val="008040D8"/>
    <w:rsid w:val="00813D97"/>
    <w:rsid w:val="00820BC1"/>
    <w:rsid w:val="008343BD"/>
    <w:rsid w:val="0084105E"/>
    <w:rsid w:val="00842773"/>
    <w:rsid w:val="008466CB"/>
    <w:rsid w:val="00847AF7"/>
    <w:rsid w:val="008542DA"/>
    <w:rsid w:val="008639A1"/>
    <w:rsid w:val="00870796"/>
    <w:rsid w:val="00871498"/>
    <w:rsid w:val="00873EB7"/>
    <w:rsid w:val="00874F95"/>
    <w:rsid w:val="00877DEC"/>
    <w:rsid w:val="00880986"/>
    <w:rsid w:val="008836D8"/>
    <w:rsid w:val="0088398A"/>
    <w:rsid w:val="0088509D"/>
    <w:rsid w:val="00895240"/>
    <w:rsid w:val="008B45DC"/>
    <w:rsid w:val="008C05CF"/>
    <w:rsid w:val="008D3530"/>
    <w:rsid w:val="008D6F25"/>
    <w:rsid w:val="008E1087"/>
    <w:rsid w:val="008E20CC"/>
    <w:rsid w:val="008E3791"/>
    <w:rsid w:val="008E6119"/>
    <w:rsid w:val="008E67A1"/>
    <w:rsid w:val="008E77FA"/>
    <w:rsid w:val="008F5697"/>
    <w:rsid w:val="008F7189"/>
    <w:rsid w:val="0090337D"/>
    <w:rsid w:val="00903D82"/>
    <w:rsid w:val="009059EB"/>
    <w:rsid w:val="00905BD3"/>
    <w:rsid w:val="00913E7D"/>
    <w:rsid w:val="00915DE3"/>
    <w:rsid w:val="00920A8F"/>
    <w:rsid w:val="00940FDC"/>
    <w:rsid w:val="009420A5"/>
    <w:rsid w:val="00943A4B"/>
    <w:rsid w:val="00946155"/>
    <w:rsid w:val="00950BB2"/>
    <w:rsid w:val="00956A97"/>
    <w:rsid w:val="009626D1"/>
    <w:rsid w:val="0097334F"/>
    <w:rsid w:val="00992F37"/>
    <w:rsid w:val="00993D0E"/>
    <w:rsid w:val="009A134C"/>
    <w:rsid w:val="009A1EEE"/>
    <w:rsid w:val="009B2093"/>
    <w:rsid w:val="009C44D9"/>
    <w:rsid w:val="009C54E8"/>
    <w:rsid w:val="009C7F6D"/>
    <w:rsid w:val="009D0556"/>
    <w:rsid w:val="009D38F4"/>
    <w:rsid w:val="009E2181"/>
    <w:rsid w:val="009E5B7B"/>
    <w:rsid w:val="009F4F4B"/>
    <w:rsid w:val="00A02444"/>
    <w:rsid w:val="00A07394"/>
    <w:rsid w:val="00A12016"/>
    <w:rsid w:val="00A13FF4"/>
    <w:rsid w:val="00A15413"/>
    <w:rsid w:val="00A162D0"/>
    <w:rsid w:val="00A20F90"/>
    <w:rsid w:val="00A22EDA"/>
    <w:rsid w:val="00A37BEA"/>
    <w:rsid w:val="00A42E69"/>
    <w:rsid w:val="00A502AE"/>
    <w:rsid w:val="00A54AF5"/>
    <w:rsid w:val="00A55FBB"/>
    <w:rsid w:val="00A57A78"/>
    <w:rsid w:val="00A61322"/>
    <w:rsid w:val="00A65E6A"/>
    <w:rsid w:val="00A6757E"/>
    <w:rsid w:val="00A70A94"/>
    <w:rsid w:val="00A71F36"/>
    <w:rsid w:val="00A72644"/>
    <w:rsid w:val="00A72AC0"/>
    <w:rsid w:val="00A73314"/>
    <w:rsid w:val="00A735DA"/>
    <w:rsid w:val="00A7574D"/>
    <w:rsid w:val="00A75FC3"/>
    <w:rsid w:val="00A77D3E"/>
    <w:rsid w:val="00A82700"/>
    <w:rsid w:val="00A8473A"/>
    <w:rsid w:val="00A90A7C"/>
    <w:rsid w:val="00A91F4A"/>
    <w:rsid w:val="00AB0173"/>
    <w:rsid w:val="00AB2C28"/>
    <w:rsid w:val="00AC457E"/>
    <w:rsid w:val="00AC5420"/>
    <w:rsid w:val="00AD1B86"/>
    <w:rsid w:val="00AD20B6"/>
    <w:rsid w:val="00AD284E"/>
    <w:rsid w:val="00AD5725"/>
    <w:rsid w:val="00AE1123"/>
    <w:rsid w:val="00AE2425"/>
    <w:rsid w:val="00AE2975"/>
    <w:rsid w:val="00AE2E74"/>
    <w:rsid w:val="00AE365B"/>
    <w:rsid w:val="00AE43A4"/>
    <w:rsid w:val="00AE5253"/>
    <w:rsid w:val="00AF038F"/>
    <w:rsid w:val="00AF5C92"/>
    <w:rsid w:val="00AF67C5"/>
    <w:rsid w:val="00AF74F8"/>
    <w:rsid w:val="00AF7DCE"/>
    <w:rsid w:val="00B030FC"/>
    <w:rsid w:val="00B059A7"/>
    <w:rsid w:val="00B07C6C"/>
    <w:rsid w:val="00B17B74"/>
    <w:rsid w:val="00B22AD1"/>
    <w:rsid w:val="00B3511C"/>
    <w:rsid w:val="00B506EE"/>
    <w:rsid w:val="00B53A87"/>
    <w:rsid w:val="00B54914"/>
    <w:rsid w:val="00B54BBD"/>
    <w:rsid w:val="00B55A9D"/>
    <w:rsid w:val="00B57AE0"/>
    <w:rsid w:val="00B61F26"/>
    <w:rsid w:val="00B7098C"/>
    <w:rsid w:val="00B76185"/>
    <w:rsid w:val="00B77F1C"/>
    <w:rsid w:val="00B8125C"/>
    <w:rsid w:val="00B823C0"/>
    <w:rsid w:val="00B83E9A"/>
    <w:rsid w:val="00B86B14"/>
    <w:rsid w:val="00B877A9"/>
    <w:rsid w:val="00B87F50"/>
    <w:rsid w:val="00B9683E"/>
    <w:rsid w:val="00BA0049"/>
    <w:rsid w:val="00BA1416"/>
    <w:rsid w:val="00BA6957"/>
    <w:rsid w:val="00BB2A66"/>
    <w:rsid w:val="00BB3295"/>
    <w:rsid w:val="00BB3B80"/>
    <w:rsid w:val="00BB4C21"/>
    <w:rsid w:val="00BD0345"/>
    <w:rsid w:val="00BD4386"/>
    <w:rsid w:val="00BE1230"/>
    <w:rsid w:val="00BE21E3"/>
    <w:rsid w:val="00BE4E91"/>
    <w:rsid w:val="00BE6274"/>
    <w:rsid w:val="00BF0C3F"/>
    <w:rsid w:val="00BF44BB"/>
    <w:rsid w:val="00BF638B"/>
    <w:rsid w:val="00C04177"/>
    <w:rsid w:val="00C16EF6"/>
    <w:rsid w:val="00C24CF0"/>
    <w:rsid w:val="00C26E9E"/>
    <w:rsid w:val="00C27474"/>
    <w:rsid w:val="00C37D02"/>
    <w:rsid w:val="00C4355A"/>
    <w:rsid w:val="00C478ED"/>
    <w:rsid w:val="00C70A8D"/>
    <w:rsid w:val="00C70FB9"/>
    <w:rsid w:val="00C72B36"/>
    <w:rsid w:val="00C73709"/>
    <w:rsid w:val="00C82484"/>
    <w:rsid w:val="00C833D6"/>
    <w:rsid w:val="00C846A2"/>
    <w:rsid w:val="00CA3791"/>
    <w:rsid w:val="00CA3DEC"/>
    <w:rsid w:val="00CB1F45"/>
    <w:rsid w:val="00CB4987"/>
    <w:rsid w:val="00CB5684"/>
    <w:rsid w:val="00CD0BB1"/>
    <w:rsid w:val="00CD7805"/>
    <w:rsid w:val="00CE008B"/>
    <w:rsid w:val="00CE05F9"/>
    <w:rsid w:val="00CE5E87"/>
    <w:rsid w:val="00CF5C66"/>
    <w:rsid w:val="00D07669"/>
    <w:rsid w:val="00D116A5"/>
    <w:rsid w:val="00D15EB4"/>
    <w:rsid w:val="00D1644C"/>
    <w:rsid w:val="00D171E4"/>
    <w:rsid w:val="00D21AD7"/>
    <w:rsid w:val="00D232AB"/>
    <w:rsid w:val="00D3723B"/>
    <w:rsid w:val="00D46318"/>
    <w:rsid w:val="00D46EB0"/>
    <w:rsid w:val="00D51088"/>
    <w:rsid w:val="00D54280"/>
    <w:rsid w:val="00D60AC6"/>
    <w:rsid w:val="00D61459"/>
    <w:rsid w:val="00D71217"/>
    <w:rsid w:val="00D82CF2"/>
    <w:rsid w:val="00D8724F"/>
    <w:rsid w:val="00D909AE"/>
    <w:rsid w:val="00D922A9"/>
    <w:rsid w:val="00D93F9E"/>
    <w:rsid w:val="00DA10E0"/>
    <w:rsid w:val="00DA5BE0"/>
    <w:rsid w:val="00DA6FEA"/>
    <w:rsid w:val="00DC51B3"/>
    <w:rsid w:val="00DD0DB6"/>
    <w:rsid w:val="00DD5180"/>
    <w:rsid w:val="00DE09EC"/>
    <w:rsid w:val="00DE265B"/>
    <w:rsid w:val="00DF4323"/>
    <w:rsid w:val="00E10626"/>
    <w:rsid w:val="00E108EB"/>
    <w:rsid w:val="00E12FC5"/>
    <w:rsid w:val="00E132D7"/>
    <w:rsid w:val="00E14BDF"/>
    <w:rsid w:val="00E16469"/>
    <w:rsid w:val="00E179BE"/>
    <w:rsid w:val="00E20419"/>
    <w:rsid w:val="00E204B1"/>
    <w:rsid w:val="00E20A7C"/>
    <w:rsid w:val="00E241DA"/>
    <w:rsid w:val="00E2523D"/>
    <w:rsid w:val="00E26076"/>
    <w:rsid w:val="00E302F5"/>
    <w:rsid w:val="00E33511"/>
    <w:rsid w:val="00E33A9A"/>
    <w:rsid w:val="00E347F3"/>
    <w:rsid w:val="00E41B0F"/>
    <w:rsid w:val="00E446A4"/>
    <w:rsid w:val="00E44F81"/>
    <w:rsid w:val="00E47AB8"/>
    <w:rsid w:val="00E53299"/>
    <w:rsid w:val="00E539CA"/>
    <w:rsid w:val="00E619B2"/>
    <w:rsid w:val="00E66E05"/>
    <w:rsid w:val="00E67066"/>
    <w:rsid w:val="00E67DBA"/>
    <w:rsid w:val="00E751C8"/>
    <w:rsid w:val="00E81FAC"/>
    <w:rsid w:val="00E8550D"/>
    <w:rsid w:val="00E91152"/>
    <w:rsid w:val="00E914D7"/>
    <w:rsid w:val="00EA6522"/>
    <w:rsid w:val="00EA72E8"/>
    <w:rsid w:val="00EC521E"/>
    <w:rsid w:val="00EC748A"/>
    <w:rsid w:val="00ED1E20"/>
    <w:rsid w:val="00ED348A"/>
    <w:rsid w:val="00ED3FB0"/>
    <w:rsid w:val="00ED46A7"/>
    <w:rsid w:val="00ED6089"/>
    <w:rsid w:val="00EE054E"/>
    <w:rsid w:val="00EE2239"/>
    <w:rsid w:val="00EE5EC9"/>
    <w:rsid w:val="00EE5FE4"/>
    <w:rsid w:val="00EF0273"/>
    <w:rsid w:val="00EF038C"/>
    <w:rsid w:val="00EF1F80"/>
    <w:rsid w:val="00EF4D32"/>
    <w:rsid w:val="00F03865"/>
    <w:rsid w:val="00F05D30"/>
    <w:rsid w:val="00F15711"/>
    <w:rsid w:val="00F1617A"/>
    <w:rsid w:val="00F242D5"/>
    <w:rsid w:val="00F25422"/>
    <w:rsid w:val="00F2624E"/>
    <w:rsid w:val="00F30EC6"/>
    <w:rsid w:val="00F32E3D"/>
    <w:rsid w:val="00F330E2"/>
    <w:rsid w:val="00F4060C"/>
    <w:rsid w:val="00F42274"/>
    <w:rsid w:val="00F42BE0"/>
    <w:rsid w:val="00F45524"/>
    <w:rsid w:val="00F45C72"/>
    <w:rsid w:val="00F5378E"/>
    <w:rsid w:val="00F670B2"/>
    <w:rsid w:val="00F71A91"/>
    <w:rsid w:val="00F71C8B"/>
    <w:rsid w:val="00F728B4"/>
    <w:rsid w:val="00F74A56"/>
    <w:rsid w:val="00F7785F"/>
    <w:rsid w:val="00F80BB0"/>
    <w:rsid w:val="00F8317E"/>
    <w:rsid w:val="00F832D6"/>
    <w:rsid w:val="00F870C9"/>
    <w:rsid w:val="00F96B52"/>
    <w:rsid w:val="00F972A9"/>
    <w:rsid w:val="00FA2727"/>
    <w:rsid w:val="00FA3085"/>
    <w:rsid w:val="00FA3AB9"/>
    <w:rsid w:val="00FB1169"/>
    <w:rsid w:val="00FB3276"/>
    <w:rsid w:val="00FB64DA"/>
    <w:rsid w:val="00FC0A0C"/>
    <w:rsid w:val="00FC2AA7"/>
    <w:rsid w:val="00FC738E"/>
    <w:rsid w:val="00FD17E4"/>
    <w:rsid w:val="00FD1FCD"/>
    <w:rsid w:val="00FD5484"/>
    <w:rsid w:val="00FD6F60"/>
    <w:rsid w:val="00FE1574"/>
    <w:rsid w:val="00FE4926"/>
    <w:rsid w:val="00FE764A"/>
    <w:rsid w:val="00FF503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4A09A"/>
  <w15:docId w15:val="{022E2D53-C9B0-41E4-BE75-461BFA6E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25422"/>
    <w:rPr>
      <w:sz w:val="28"/>
      <w:szCs w:val="28"/>
    </w:rPr>
  </w:style>
  <w:style w:type="paragraph" w:styleId="a4">
    <w:name w:val="Closing"/>
    <w:basedOn w:val="a"/>
    <w:rsid w:val="00F25422"/>
    <w:pPr>
      <w:ind w:leftChars="2100" w:left="100"/>
    </w:pPr>
    <w:rPr>
      <w:sz w:val="28"/>
      <w:szCs w:val="28"/>
    </w:rPr>
  </w:style>
  <w:style w:type="paragraph" w:styleId="a5">
    <w:name w:val="footer"/>
    <w:basedOn w:val="a"/>
    <w:rsid w:val="0018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85666"/>
  </w:style>
  <w:style w:type="paragraph" w:styleId="a7">
    <w:name w:val="header"/>
    <w:basedOn w:val="a"/>
    <w:rsid w:val="0018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rsid w:val="0096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40480B"/>
    <w:pPr>
      <w:ind w:leftChars="2500" w:left="100"/>
    </w:pPr>
  </w:style>
  <w:style w:type="character" w:customStyle="1" w:styleId="aa">
    <w:name w:val="日期 字符"/>
    <w:link w:val="a9"/>
    <w:rsid w:val="0040480B"/>
    <w:rPr>
      <w:kern w:val="2"/>
      <w:sz w:val="21"/>
      <w:szCs w:val="24"/>
    </w:rPr>
  </w:style>
  <w:style w:type="paragraph" w:styleId="ab">
    <w:name w:val="Balloon Text"/>
    <w:basedOn w:val="a"/>
    <w:link w:val="ac"/>
    <w:rsid w:val="00FD6F60"/>
    <w:rPr>
      <w:sz w:val="18"/>
      <w:szCs w:val="18"/>
    </w:rPr>
  </w:style>
  <w:style w:type="character" w:customStyle="1" w:styleId="ac">
    <w:name w:val="批注框文本 字符"/>
    <w:link w:val="ab"/>
    <w:rsid w:val="00FD6F60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A77D3E"/>
    <w:pPr>
      <w:ind w:firstLineChars="200" w:firstLine="420"/>
    </w:pPr>
    <w:rPr>
      <w:rFonts w:ascii="Calibri" w:hAnsi="Calibri"/>
      <w:szCs w:val="22"/>
    </w:rPr>
  </w:style>
  <w:style w:type="character" w:styleId="ae">
    <w:name w:val="Hyperlink"/>
    <w:uiPriority w:val="99"/>
    <w:rsid w:val="00EC521E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EC521E"/>
    <w:rPr>
      <w:color w:val="605E5C"/>
      <w:shd w:val="clear" w:color="auto" w:fill="E1DFDD"/>
    </w:rPr>
  </w:style>
  <w:style w:type="character" w:styleId="af">
    <w:name w:val="FollowedHyperlink"/>
    <w:uiPriority w:val="99"/>
    <w:unhideWhenUsed/>
    <w:rsid w:val="00324189"/>
    <w:rPr>
      <w:color w:val="954F72"/>
      <w:u w:val="single"/>
    </w:rPr>
  </w:style>
  <w:style w:type="paragraph" w:customStyle="1" w:styleId="msonormal0">
    <w:name w:val="msonormal"/>
    <w:basedOn w:val="a"/>
    <w:rsid w:val="003241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2418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2418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f0">
    <w:name w:val="Normal (Web)"/>
    <w:basedOn w:val="a"/>
    <w:uiPriority w:val="99"/>
    <w:unhideWhenUsed/>
    <w:rsid w:val="00E67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Revision"/>
    <w:hidden/>
    <w:uiPriority w:val="99"/>
    <w:semiHidden/>
    <w:rsid w:val="00CE05F9"/>
    <w:rPr>
      <w:kern w:val="2"/>
      <w:sz w:val="21"/>
      <w:szCs w:val="24"/>
    </w:rPr>
  </w:style>
  <w:style w:type="character" w:customStyle="1" w:styleId="font11">
    <w:name w:val="font11"/>
    <w:basedOn w:val="a0"/>
    <w:qFormat/>
    <w:rsid w:val="00350C7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4DCD-995A-4A3D-A971-15236032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Yang J</cp:lastModifiedBy>
  <cp:revision>4</cp:revision>
  <cp:lastPrinted>2022-09-20T06:22:00Z</cp:lastPrinted>
  <dcterms:created xsi:type="dcterms:W3CDTF">2023-07-12T05:06:00Z</dcterms:created>
  <dcterms:modified xsi:type="dcterms:W3CDTF">2023-07-12T05:06:00Z</dcterms:modified>
</cp:coreProperties>
</file>